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FC65" w14:textId="77777777" w:rsidR="009575E7" w:rsidRDefault="009575E7" w:rsidP="009575E7">
      <w:pPr>
        <w:jc w:val="center"/>
        <w:textAlignment w:val="baseline"/>
        <w:rPr>
          <w:b/>
          <w:bCs/>
          <w:u w:val="single"/>
          <w:lang w:eastAsia="en-GB"/>
        </w:rPr>
      </w:pPr>
    </w:p>
    <w:p w14:paraId="6529F63C" w14:textId="77777777" w:rsidR="009575E7" w:rsidRDefault="009575E7" w:rsidP="009575E7">
      <w:pPr>
        <w:jc w:val="center"/>
        <w:textAlignment w:val="baseline"/>
        <w:rPr>
          <w:b/>
          <w:bCs/>
          <w:u w:val="single"/>
          <w:lang w:eastAsia="en-GB"/>
        </w:rPr>
      </w:pPr>
    </w:p>
    <w:p w14:paraId="25B35BAD" w14:textId="77777777" w:rsidR="009575E7" w:rsidRDefault="009575E7" w:rsidP="009575E7">
      <w:pPr>
        <w:jc w:val="center"/>
        <w:textAlignment w:val="baseline"/>
        <w:rPr>
          <w:b/>
          <w:bCs/>
          <w:u w:val="single"/>
          <w:lang w:eastAsia="en-GB"/>
        </w:rPr>
      </w:pPr>
    </w:p>
    <w:p w14:paraId="221E588F" w14:textId="77777777" w:rsidR="009575E7" w:rsidRDefault="009575E7" w:rsidP="009575E7">
      <w:pPr>
        <w:jc w:val="center"/>
        <w:textAlignment w:val="baseline"/>
        <w:rPr>
          <w:b/>
          <w:bCs/>
          <w:u w:val="single"/>
          <w:lang w:eastAsia="en-GB"/>
        </w:rPr>
      </w:pPr>
    </w:p>
    <w:p w14:paraId="658C7EB5" w14:textId="77777777" w:rsidR="009575E7" w:rsidRDefault="009575E7" w:rsidP="009575E7">
      <w:pPr>
        <w:jc w:val="center"/>
        <w:textAlignment w:val="baseline"/>
        <w:rPr>
          <w:b/>
          <w:bCs/>
          <w:u w:val="single"/>
          <w:lang w:eastAsia="en-GB"/>
        </w:rPr>
      </w:pPr>
    </w:p>
    <w:p w14:paraId="6874E3C6" w14:textId="01383D18" w:rsidR="009575E7" w:rsidRPr="00562872" w:rsidRDefault="009575E7" w:rsidP="009575E7">
      <w:pPr>
        <w:jc w:val="center"/>
        <w:textAlignment w:val="baseline"/>
        <w:rPr>
          <w:lang w:eastAsia="en-GB"/>
        </w:rPr>
      </w:pPr>
      <w:r w:rsidRPr="00562872">
        <w:rPr>
          <w:b/>
          <w:bCs/>
          <w:u w:val="single"/>
          <w:lang w:eastAsia="en-GB"/>
        </w:rPr>
        <w:t>Committee Report Checklist</w:t>
      </w:r>
      <w:r w:rsidRPr="00562872">
        <w:rPr>
          <w:lang w:eastAsia="en-GB"/>
        </w:rPr>
        <w:t> </w:t>
      </w:r>
    </w:p>
    <w:p w14:paraId="67531112" w14:textId="77777777" w:rsidR="009575E7" w:rsidRPr="00562872" w:rsidRDefault="009575E7" w:rsidP="009575E7">
      <w:pPr>
        <w:jc w:val="center"/>
        <w:textAlignment w:val="baseline"/>
        <w:rPr>
          <w:lang w:eastAsia="en-GB"/>
        </w:rPr>
      </w:pPr>
      <w:r w:rsidRPr="00562872">
        <w:rPr>
          <w:lang w:eastAsia="en-GB"/>
        </w:rPr>
        <w:t> </w:t>
      </w:r>
    </w:p>
    <w:p w14:paraId="78C2E030" w14:textId="77777777" w:rsidR="009575E7" w:rsidRPr="00562872" w:rsidRDefault="009575E7" w:rsidP="009575E7">
      <w:pPr>
        <w:textAlignment w:val="baseline"/>
        <w:rPr>
          <w:lang w:eastAsia="en-GB"/>
        </w:rPr>
      </w:pPr>
      <w:bookmarkStart w:id="0" w:name="_Hlk164849843"/>
      <w:r w:rsidRPr="00562872">
        <w:rPr>
          <w:b/>
          <w:bCs/>
          <w:lang w:eastAsia="en-GB"/>
        </w:rPr>
        <w:t xml:space="preserve">Please </w:t>
      </w:r>
      <w:r>
        <w:rPr>
          <w:b/>
          <w:bCs/>
          <w:lang w:eastAsia="en-GB"/>
        </w:rPr>
        <w:t xml:space="preserve">submit the completed </w:t>
      </w:r>
      <w:r w:rsidRPr="00562872">
        <w:rPr>
          <w:b/>
          <w:bCs/>
          <w:lang w:eastAsia="en-GB"/>
        </w:rPr>
        <w:t>checklists with your report. If final draft report do</w:t>
      </w:r>
      <w:r>
        <w:rPr>
          <w:b/>
          <w:bCs/>
          <w:lang w:eastAsia="en-GB"/>
        </w:rPr>
        <w:t>es</w:t>
      </w:r>
      <w:r w:rsidRPr="00562872">
        <w:rPr>
          <w:b/>
          <w:bCs/>
          <w:lang w:eastAsia="en-GB"/>
        </w:rPr>
        <w:t xml:space="preserve"> not include all the information/sign offs required, your item </w:t>
      </w:r>
      <w:r>
        <w:rPr>
          <w:b/>
          <w:bCs/>
          <w:lang w:eastAsia="en-GB"/>
        </w:rPr>
        <w:t xml:space="preserve">will </w:t>
      </w:r>
      <w:r w:rsidRPr="00562872">
        <w:rPr>
          <w:b/>
          <w:bCs/>
          <w:lang w:eastAsia="en-GB"/>
        </w:rPr>
        <w:t>be delayed until the next meeting cycle.</w:t>
      </w:r>
      <w:r w:rsidRPr="00562872">
        <w:rPr>
          <w:lang w:eastAsia="en-GB"/>
        </w:rPr>
        <w:t> </w:t>
      </w:r>
    </w:p>
    <w:bookmarkEnd w:id="0"/>
    <w:p w14:paraId="671F8CEB" w14:textId="77777777" w:rsidR="009575E7" w:rsidRPr="00562872" w:rsidRDefault="009575E7" w:rsidP="009575E7">
      <w:pPr>
        <w:jc w:val="center"/>
        <w:textAlignment w:val="baseline"/>
        <w:rPr>
          <w:lang w:eastAsia="en-GB"/>
        </w:rPr>
      </w:pPr>
      <w:r w:rsidRPr="00562872">
        <w:rPr>
          <w:lang w:eastAsia="en-GB"/>
        </w:rPr>
        <w:t> </w:t>
      </w:r>
    </w:p>
    <w:p w14:paraId="406DFA66" w14:textId="77777777" w:rsidR="009575E7" w:rsidRDefault="009575E7" w:rsidP="009575E7">
      <w:pPr>
        <w:textAlignment w:val="baseline"/>
        <w:rPr>
          <w:b/>
          <w:bCs/>
          <w:lang w:eastAsia="en-GB"/>
        </w:rPr>
      </w:pPr>
      <w:r>
        <w:rPr>
          <w:b/>
          <w:bCs/>
          <w:lang w:eastAsia="en-GB"/>
        </w:rPr>
        <w:t xml:space="preserve">Stage 1 </w:t>
      </w:r>
    </w:p>
    <w:p w14:paraId="562BEB87" w14:textId="77777777" w:rsidR="009575E7" w:rsidRPr="00562872" w:rsidRDefault="009575E7" w:rsidP="009575E7">
      <w:pPr>
        <w:textAlignment w:val="baseline"/>
        <w:rPr>
          <w:lang w:eastAsia="en-GB"/>
        </w:rPr>
      </w:pPr>
      <w:r w:rsidRPr="00562872">
        <w:rPr>
          <w:b/>
          <w:bCs/>
          <w:lang w:eastAsia="en-GB"/>
        </w:rPr>
        <w:t xml:space="preserve">Report </w:t>
      </w:r>
      <w:r>
        <w:rPr>
          <w:b/>
          <w:bCs/>
          <w:lang w:eastAsia="en-GB"/>
        </w:rPr>
        <w:t>c</w:t>
      </w:r>
      <w:r w:rsidRPr="00562872">
        <w:rPr>
          <w:b/>
          <w:bCs/>
          <w:lang w:eastAsia="en-GB"/>
        </w:rPr>
        <w:t>heck</w:t>
      </w:r>
      <w:r>
        <w:rPr>
          <w:b/>
          <w:bCs/>
          <w:lang w:eastAsia="en-GB"/>
        </w:rPr>
        <w:t>l</w:t>
      </w:r>
      <w:r w:rsidRPr="00562872">
        <w:rPr>
          <w:b/>
          <w:bCs/>
          <w:lang w:eastAsia="en-GB"/>
        </w:rPr>
        <w:t>ist – responsibility of report owner</w:t>
      </w:r>
      <w:r w:rsidRPr="00562872">
        <w:rPr>
          <w:lang w:eastAsia="en-GB"/>
        </w:rPr>
        <w:t> </w:t>
      </w:r>
    </w:p>
    <w:tbl>
      <w:tblPr>
        <w:tblW w:w="821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62"/>
        <w:gridCol w:w="1134"/>
        <w:gridCol w:w="1418"/>
      </w:tblGrid>
      <w:tr w:rsidR="00D2138D" w:rsidRPr="00562872" w14:paraId="54D7C2BA" w14:textId="166D25EC" w:rsidTr="1B9006B2">
        <w:tc>
          <w:tcPr>
            <w:tcW w:w="5662" w:type="dxa"/>
            <w:tcBorders>
              <w:top w:val="single" w:sz="6" w:space="0" w:color="auto"/>
              <w:left w:val="single" w:sz="6" w:space="0" w:color="auto"/>
              <w:bottom w:val="single" w:sz="6" w:space="0" w:color="auto"/>
              <w:right w:val="single" w:sz="6" w:space="0" w:color="auto"/>
            </w:tcBorders>
            <w:vAlign w:val="center"/>
            <w:hideMark/>
          </w:tcPr>
          <w:p w14:paraId="6DF77707" w14:textId="77777777" w:rsidR="00D2138D" w:rsidRPr="00562872" w:rsidRDefault="00D2138D">
            <w:pPr>
              <w:textAlignment w:val="baseline"/>
              <w:rPr>
                <w:b/>
                <w:bCs/>
                <w:lang w:eastAsia="en-GB"/>
              </w:rPr>
            </w:pPr>
            <w:r w:rsidRPr="00562872">
              <w:rPr>
                <w:b/>
                <w:bCs/>
                <w:lang w:eastAsia="en-GB"/>
              </w:rPr>
              <w:t>ITEM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99E3157" w14:textId="77777777" w:rsidR="00D2138D" w:rsidRPr="004D3965" w:rsidRDefault="00D2138D">
            <w:pPr>
              <w:jc w:val="center"/>
              <w:textAlignment w:val="baseline"/>
              <w:rPr>
                <w:b/>
                <w:bCs/>
                <w:lang w:eastAsia="en-GB"/>
              </w:rPr>
            </w:pPr>
            <w:r w:rsidRPr="004D3965">
              <w:rPr>
                <w:b/>
                <w:bCs/>
                <w:lang w:eastAsia="en-GB"/>
              </w:rPr>
              <w:t xml:space="preserve">Yes / No </w:t>
            </w:r>
          </w:p>
        </w:tc>
        <w:tc>
          <w:tcPr>
            <w:tcW w:w="1418" w:type="dxa"/>
            <w:tcBorders>
              <w:top w:val="single" w:sz="6" w:space="0" w:color="auto"/>
              <w:left w:val="single" w:sz="6" w:space="0" w:color="auto"/>
              <w:bottom w:val="single" w:sz="6" w:space="0" w:color="auto"/>
              <w:right w:val="single" w:sz="6" w:space="0" w:color="auto"/>
            </w:tcBorders>
          </w:tcPr>
          <w:p w14:paraId="74549769" w14:textId="6E377C6F" w:rsidR="00D2138D" w:rsidRPr="004D3965" w:rsidRDefault="00D2138D">
            <w:pPr>
              <w:jc w:val="center"/>
              <w:textAlignment w:val="baseline"/>
              <w:rPr>
                <w:b/>
                <w:bCs/>
                <w:lang w:eastAsia="en-GB"/>
              </w:rPr>
            </w:pPr>
            <w:r>
              <w:rPr>
                <w:b/>
                <w:bCs/>
                <w:lang w:eastAsia="en-GB"/>
              </w:rPr>
              <w:t>Date</w:t>
            </w:r>
          </w:p>
        </w:tc>
      </w:tr>
      <w:tr w:rsidR="00D2138D" w:rsidRPr="00562872" w14:paraId="6AEF2F60" w14:textId="633D703A" w:rsidTr="1B9006B2">
        <w:tc>
          <w:tcPr>
            <w:tcW w:w="5662" w:type="dxa"/>
            <w:tcBorders>
              <w:top w:val="single" w:sz="6" w:space="0" w:color="auto"/>
              <w:left w:val="single" w:sz="6" w:space="0" w:color="auto"/>
              <w:bottom w:val="single" w:sz="6" w:space="0" w:color="auto"/>
              <w:right w:val="single" w:sz="6" w:space="0" w:color="auto"/>
            </w:tcBorders>
            <w:hideMark/>
          </w:tcPr>
          <w:p w14:paraId="74563787" w14:textId="40169ADB" w:rsidR="00D2138D" w:rsidRPr="00562872" w:rsidRDefault="00D2138D">
            <w:pPr>
              <w:textAlignment w:val="baseline"/>
              <w:rPr>
                <w:lang w:eastAsia="en-GB"/>
              </w:rPr>
            </w:pPr>
            <w:r>
              <w:rPr>
                <w:lang w:eastAsia="en-GB"/>
              </w:rPr>
              <w:t>Councillor engagement / input from Chair prior to briefing</w:t>
            </w:r>
            <w:r w:rsidR="00BB4D7A">
              <w:rPr>
                <w:lang w:eastAsia="en-GB"/>
              </w:rPr>
              <w:t xml:space="preserve"> – emailed to Cllr Sexton</w:t>
            </w:r>
          </w:p>
        </w:tc>
        <w:tc>
          <w:tcPr>
            <w:tcW w:w="1134" w:type="dxa"/>
            <w:tcBorders>
              <w:top w:val="single" w:sz="6" w:space="0" w:color="auto"/>
              <w:left w:val="single" w:sz="6" w:space="0" w:color="auto"/>
              <w:bottom w:val="single" w:sz="6" w:space="0" w:color="auto"/>
              <w:right w:val="single" w:sz="6" w:space="0" w:color="auto"/>
            </w:tcBorders>
          </w:tcPr>
          <w:p w14:paraId="2A9D2DB5" w14:textId="5FE7576D" w:rsidR="00D2138D" w:rsidRPr="00562872" w:rsidRDefault="00585CF3">
            <w:pPr>
              <w:jc w:val="center"/>
              <w:textAlignment w:val="baseline"/>
              <w:rPr>
                <w:b/>
                <w:bCs/>
                <w:lang w:eastAsia="en-GB"/>
              </w:rPr>
            </w:pPr>
            <w:r>
              <w:rPr>
                <w:b/>
                <w:bCs/>
                <w:lang w:eastAsia="en-GB"/>
              </w:rPr>
              <w:t>yes</w:t>
            </w:r>
          </w:p>
        </w:tc>
        <w:tc>
          <w:tcPr>
            <w:tcW w:w="1418" w:type="dxa"/>
            <w:tcBorders>
              <w:top w:val="single" w:sz="6" w:space="0" w:color="auto"/>
              <w:left w:val="single" w:sz="6" w:space="0" w:color="auto"/>
              <w:bottom w:val="single" w:sz="6" w:space="0" w:color="auto"/>
              <w:right w:val="single" w:sz="6" w:space="0" w:color="auto"/>
            </w:tcBorders>
          </w:tcPr>
          <w:p w14:paraId="4707585B" w14:textId="40FCDABA" w:rsidR="00D2138D" w:rsidRPr="00562872" w:rsidRDefault="00585CF3">
            <w:pPr>
              <w:jc w:val="center"/>
              <w:textAlignment w:val="baseline"/>
              <w:rPr>
                <w:b/>
                <w:bCs/>
                <w:lang w:eastAsia="en-GB"/>
              </w:rPr>
            </w:pPr>
            <w:r>
              <w:rPr>
                <w:b/>
                <w:bCs/>
                <w:lang w:eastAsia="en-GB"/>
              </w:rPr>
              <w:t>26/1/26</w:t>
            </w:r>
          </w:p>
        </w:tc>
      </w:tr>
      <w:tr w:rsidR="00D2138D" w:rsidRPr="00562872" w14:paraId="0A8D5959" w14:textId="698989FC" w:rsidTr="1B9006B2">
        <w:tc>
          <w:tcPr>
            <w:tcW w:w="5662" w:type="dxa"/>
            <w:tcBorders>
              <w:top w:val="single" w:sz="6" w:space="0" w:color="auto"/>
              <w:left w:val="single" w:sz="6" w:space="0" w:color="auto"/>
              <w:bottom w:val="single" w:sz="6" w:space="0" w:color="auto"/>
              <w:right w:val="single" w:sz="6" w:space="0" w:color="auto"/>
            </w:tcBorders>
            <w:hideMark/>
          </w:tcPr>
          <w:p w14:paraId="74F95FAC" w14:textId="4D0C9DB5" w:rsidR="00D2138D" w:rsidRPr="00562872" w:rsidRDefault="00D2138D" w:rsidP="7D069F24">
            <w:pPr>
              <w:textAlignment w:val="baseline"/>
              <w:rPr>
                <w:rFonts w:eastAsia="Arial" w:cs="Arial"/>
                <w:szCs w:val="24"/>
              </w:rPr>
            </w:pPr>
            <w:r w:rsidRPr="7D069F24">
              <w:rPr>
                <w:lang w:eastAsia="en-GB"/>
              </w:rPr>
              <w:t xml:space="preserve">Commissioner engagement </w:t>
            </w:r>
            <w:r w:rsidRPr="7D069F24">
              <w:rPr>
                <w:rFonts w:eastAsia="Arial" w:cs="Arial"/>
                <w:szCs w:val="24"/>
              </w:rPr>
              <w:t>(if report focused on issues of concern to Commissioners such as Finance, Assets etc)</w:t>
            </w:r>
          </w:p>
        </w:tc>
        <w:tc>
          <w:tcPr>
            <w:tcW w:w="1134" w:type="dxa"/>
            <w:tcBorders>
              <w:top w:val="single" w:sz="6" w:space="0" w:color="auto"/>
              <w:left w:val="single" w:sz="6" w:space="0" w:color="auto"/>
              <w:bottom w:val="single" w:sz="6" w:space="0" w:color="auto"/>
              <w:right w:val="single" w:sz="6" w:space="0" w:color="auto"/>
            </w:tcBorders>
          </w:tcPr>
          <w:p w14:paraId="1DD8359C" w14:textId="5B1EDF9A" w:rsidR="00D2138D" w:rsidRPr="00562872" w:rsidRDefault="008E1FEA">
            <w:pPr>
              <w:jc w:val="center"/>
              <w:textAlignment w:val="baseline"/>
              <w:rPr>
                <w:b/>
                <w:bCs/>
                <w:lang w:eastAsia="en-GB"/>
              </w:rPr>
            </w:pPr>
            <w:r>
              <w:rPr>
                <w:b/>
                <w:bCs/>
                <w:lang w:eastAsia="en-GB"/>
              </w:rPr>
              <w:t>yes</w:t>
            </w:r>
          </w:p>
        </w:tc>
        <w:tc>
          <w:tcPr>
            <w:tcW w:w="1418" w:type="dxa"/>
            <w:tcBorders>
              <w:top w:val="single" w:sz="6" w:space="0" w:color="auto"/>
              <w:left w:val="single" w:sz="6" w:space="0" w:color="auto"/>
              <w:bottom w:val="single" w:sz="6" w:space="0" w:color="auto"/>
              <w:right w:val="single" w:sz="6" w:space="0" w:color="auto"/>
            </w:tcBorders>
          </w:tcPr>
          <w:p w14:paraId="5C7F85AD" w14:textId="29E526CF" w:rsidR="00D2138D" w:rsidRPr="00562872" w:rsidRDefault="002B3049">
            <w:pPr>
              <w:jc w:val="center"/>
              <w:textAlignment w:val="baseline"/>
              <w:rPr>
                <w:b/>
                <w:bCs/>
                <w:lang w:eastAsia="en-GB"/>
              </w:rPr>
            </w:pPr>
            <w:r>
              <w:rPr>
                <w:b/>
                <w:bCs/>
                <w:lang w:eastAsia="en-GB"/>
              </w:rPr>
              <w:t>7/1/</w:t>
            </w:r>
            <w:r w:rsidR="008E1FEA">
              <w:rPr>
                <w:b/>
                <w:bCs/>
                <w:lang w:eastAsia="en-GB"/>
              </w:rPr>
              <w:t>26</w:t>
            </w:r>
          </w:p>
        </w:tc>
      </w:tr>
      <w:tr w:rsidR="00D2138D" w:rsidRPr="00562872" w14:paraId="247920C6" w14:textId="76880F09" w:rsidTr="1B9006B2">
        <w:tc>
          <w:tcPr>
            <w:tcW w:w="5662" w:type="dxa"/>
            <w:tcBorders>
              <w:top w:val="single" w:sz="6" w:space="0" w:color="auto"/>
              <w:left w:val="single" w:sz="6" w:space="0" w:color="auto"/>
              <w:bottom w:val="single" w:sz="6" w:space="0" w:color="auto"/>
              <w:right w:val="single" w:sz="6" w:space="0" w:color="auto"/>
            </w:tcBorders>
            <w:hideMark/>
          </w:tcPr>
          <w:p w14:paraId="6BA95D3B" w14:textId="77777777" w:rsidR="00D2138D" w:rsidRPr="00562872" w:rsidRDefault="00D2138D">
            <w:pPr>
              <w:textAlignment w:val="baseline"/>
              <w:rPr>
                <w:lang w:eastAsia="en-GB"/>
              </w:rPr>
            </w:pPr>
            <w:r>
              <w:rPr>
                <w:lang w:eastAsia="en-GB"/>
              </w:rPr>
              <w:t xml:space="preserve">Relevant Group Head review </w:t>
            </w:r>
            <w:r w:rsidRPr="00562872">
              <w:rPr>
                <w:lang w:eastAsia="en-GB"/>
              </w:rPr>
              <w:t> </w:t>
            </w:r>
          </w:p>
        </w:tc>
        <w:tc>
          <w:tcPr>
            <w:tcW w:w="1134" w:type="dxa"/>
            <w:tcBorders>
              <w:top w:val="single" w:sz="6" w:space="0" w:color="auto"/>
              <w:left w:val="single" w:sz="6" w:space="0" w:color="auto"/>
              <w:bottom w:val="single" w:sz="6" w:space="0" w:color="auto"/>
              <w:right w:val="single" w:sz="6" w:space="0" w:color="auto"/>
            </w:tcBorders>
          </w:tcPr>
          <w:p w14:paraId="5B6A9F96" w14:textId="2005D6E1" w:rsidR="00D2138D" w:rsidRPr="00562872" w:rsidRDefault="008E1FEA">
            <w:pPr>
              <w:jc w:val="center"/>
              <w:textAlignment w:val="baseline"/>
              <w:rPr>
                <w:b/>
                <w:bCs/>
                <w:lang w:eastAsia="en-GB"/>
              </w:rPr>
            </w:pPr>
            <w:r>
              <w:rPr>
                <w:b/>
                <w:bCs/>
                <w:lang w:eastAsia="en-GB"/>
              </w:rPr>
              <w:t>yes</w:t>
            </w:r>
          </w:p>
        </w:tc>
        <w:tc>
          <w:tcPr>
            <w:tcW w:w="1418" w:type="dxa"/>
            <w:tcBorders>
              <w:top w:val="single" w:sz="6" w:space="0" w:color="auto"/>
              <w:left w:val="single" w:sz="6" w:space="0" w:color="auto"/>
              <w:bottom w:val="single" w:sz="6" w:space="0" w:color="auto"/>
              <w:right w:val="single" w:sz="6" w:space="0" w:color="auto"/>
            </w:tcBorders>
          </w:tcPr>
          <w:p w14:paraId="5CB5B551" w14:textId="79164E24" w:rsidR="00D2138D" w:rsidRPr="00562872" w:rsidRDefault="008E1FEA">
            <w:pPr>
              <w:jc w:val="center"/>
              <w:textAlignment w:val="baseline"/>
              <w:rPr>
                <w:b/>
                <w:bCs/>
                <w:lang w:eastAsia="en-GB"/>
              </w:rPr>
            </w:pPr>
            <w:r>
              <w:rPr>
                <w:b/>
                <w:bCs/>
                <w:lang w:eastAsia="en-GB"/>
              </w:rPr>
              <w:t>7/1/26</w:t>
            </w:r>
          </w:p>
        </w:tc>
      </w:tr>
      <w:tr w:rsidR="00D2138D" w:rsidRPr="00562872" w14:paraId="7D6391CE" w14:textId="42A3C717" w:rsidTr="1B9006B2">
        <w:tc>
          <w:tcPr>
            <w:tcW w:w="5662" w:type="dxa"/>
            <w:tcBorders>
              <w:top w:val="single" w:sz="6" w:space="0" w:color="auto"/>
              <w:left w:val="single" w:sz="6" w:space="0" w:color="auto"/>
              <w:bottom w:val="single" w:sz="6" w:space="0" w:color="auto"/>
              <w:right w:val="single" w:sz="6" w:space="0" w:color="auto"/>
            </w:tcBorders>
          </w:tcPr>
          <w:p w14:paraId="55EB1941" w14:textId="77777777" w:rsidR="00D2138D" w:rsidRPr="00562872" w:rsidRDefault="00D2138D">
            <w:pPr>
              <w:textAlignment w:val="baseline"/>
              <w:rPr>
                <w:lang w:eastAsia="en-GB"/>
              </w:rPr>
            </w:pPr>
            <w:r>
              <w:rPr>
                <w:lang w:eastAsia="en-GB"/>
              </w:rPr>
              <w:t xml:space="preserve">MAT+ review (to have been circulated </w:t>
            </w:r>
            <w:r w:rsidRPr="00B84740">
              <w:rPr>
                <w:b/>
                <w:bCs/>
                <w:lang w:eastAsia="en-GB"/>
              </w:rPr>
              <w:t>at least</w:t>
            </w:r>
            <w:r>
              <w:rPr>
                <w:lang w:eastAsia="en-GB"/>
              </w:rPr>
              <w:t xml:space="preserve"> </w:t>
            </w:r>
            <w:r w:rsidRPr="00B830DF">
              <w:rPr>
                <w:b/>
                <w:bCs/>
                <w:lang w:eastAsia="en-GB"/>
              </w:rPr>
              <w:t>5 working days before</w:t>
            </w:r>
            <w:r>
              <w:rPr>
                <w:b/>
                <w:bCs/>
                <w:lang w:eastAsia="en-GB"/>
              </w:rPr>
              <w:t xml:space="preserve"> Stage 2</w:t>
            </w:r>
            <w:r>
              <w:rPr>
                <w:lang w:eastAsia="en-GB"/>
              </w:rPr>
              <w:t>)</w:t>
            </w:r>
          </w:p>
        </w:tc>
        <w:tc>
          <w:tcPr>
            <w:tcW w:w="1134" w:type="dxa"/>
            <w:tcBorders>
              <w:top w:val="single" w:sz="6" w:space="0" w:color="auto"/>
              <w:left w:val="single" w:sz="6" w:space="0" w:color="auto"/>
              <w:bottom w:val="single" w:sz="6" w:space="0" w:color="auto"/>
              <w:right w:val="single" w:sz="6" w:space="0" w:color="auto"/>
            </w:tcBorders>
          </w:tcPr>
          <w:p w14:paraId="3734BDD6" w14:textId="43DF42E0" w:rsidR="00D2138D" w:rsidRPr="00562872" w:rsidRDefault="008E1FEA">
            <w:pPr>
              <w:jc w:val="center"/>
              <w:textAlignment w:val="baseline"/>
              <w:rPr>
                <w:b/>
                <w:bCs/>
                <w:lang w:eastAsia="en-GB"/>
              </w:rPr>
            </w:pPr>
            <w:r>
              <w:rPr>
                <w:b/>
                <w:bCs/>
                <w:lang w:eastAsia="en-GB"/>
              </w:rPr>
              <w:t>yes</w:t>
            </w:r>
          </w:p>
        </w:tc>
        <w:tc>
          <w:tcPr>
            <w:tcW w:w="1418" w:type="dxa"/>
            <w:tcBorders>
              <w:top w:val="single" w:sz="6" w:space="0" w:color="auto"/>
              <w:left w:val="single" w:sz="6" w:space="0" w:color="auto"/>
              <w:bottom w:val="single" w:sz="6" w:space="0" w:color="auto"/>
              <w:right w:val="single" w:sz="6" w:space="0" w:color="auto"/>
            </w:tcBorders>
          </w:tcPr>
          <w:p w14:paraId="201997DF" w14:textId="08EB8B3F" w:rsidR="00D2138D" w:rsidRPr="00562872" w:rsidRDefault="008E1FEA">
            <w:pPr>
              <w:jc w:val="center"/>
              <w:textAlignment w:val="baseline"/>
              <w:rPr>
                <w:b/>
                <w:bCs/>
                <w:lang w:eastAsia="en-GB"/>
              </w:rPr>
            </w:pPr>
            <w:r>
              <w:rPr>
                <w:b/>
                <w:bCs/>
                <w:lang w:eastAsia="en-GB"/>
              </w:rPr>
              <w:t>7/1/26</w:t>
            </w:r>
          </w:p>
        </w:tc>
      </w:tr>
      <w:tr w:rsidR="00D2138D" w:rsidRPr="00562872" w14:paraId="0DFDD2F5" w14:textId="08B11168" w:rsidTr="1B9006B2">
        <w:tc>
          <w:tcPr>
            <w:tcW w:w="5662" w:type="dxa"/>
            <w:tcBorders>
              <w:top w:val="single" w:sz="6" w:space="0" w:color="auto"/>
              <w:left w:val="single" w:sz="6" w:space="0" w:color="auto"/>
              <w:bottom w:val="single" w:sz="6" w:space="0" w:color="auto"/>
              <w:right w:val="single" w:sz="6" w:space="0" w:color="auto"/>
            </w:tcBorders>
          </w:tcPr>
          <w:p w14:paraId="6FDD8E95" w14:textId="77777777" w:rsidR="00D2138D" w:rsidRDefault="00D2138D">
            <w:pPr>
              <w:textAlignment w:val="baseline"/>
              <w:rPr>
                <w:lang w:eastAsia="en-GB"/>
              </w:rPr>
            </w:pPr>
            <w:r>
              <w:rPr>
                <w:lang w:eastAsia="en-GB"/>
              </w:rPr>
              <w:t xml:space="preserve">This item is on the Forward Plan for the relevant committee </w:t>
            </w:r>
          </w:p>
        </w:tc>
        <w:tc>
          <w:tcPr>
            <w:tcW w:w="1134" w:type="dxa"/>
            <w:tcBorders>
              <w:top w:val="single" w:sz="6" w:space="0" w:color="auto"/>
              <w:left w:val="single" w:sz="6" w:space="0" w:color="auto"/>
              <w:bottom w:val="single" w:sz="6" w:space="0" w:color="auto"/>
              <w:right w:val="single" w:sz="6" w:space="0" w:color="auto"/>
            </w:tcBorders>
          </w:tcPr>
          <w:p w14:paraId="21B3E8FC" w14:textId="30B9DEF5" w:rsidR="00D2138D" w:rsidRPr="00562872" w:rsidRDefault="008E1FEA">
            <w:pPr>
              <w:jc w:val="center"/>
              <w:textAlignment w:val="baseline"/>
              <w:rPr>
                <w:b/>
                <w:bCs/>
                <w:lang w:eastAsia="en-GB"/>
              </w:rPr>
            </w:pPr>
            <w:r>
              <w:rPr>
                <w:b/>
                <w:bCs/>
                <w:lang w:eastAsia="en-GB"/>
              </w:rPr>
              <w:t>yes</w:t>
            </w:r>
          </w:p>
        </w:tc>
        <w:tc>
          <w:tcPr>
            <w:tcW w:w="1418" w:type="dxa"/>
            <w:tcBorders>
              <w:top w:val="single" w:sz="6" w:space="0" w:color="auto"/>
              <w:left w:val="single" w:sz="6" w:space="0" w:color="auto"/>
              <w:bottom w:val="single" w:sz="6" w:space="0" w:color="auto"/>
              <w:right w:val="single" w:sz="6" w:space="0" w:color="auto"/>
            </w:tcBorders>
          </w:tcPr>
          <w:p w14:paraId="0BF56ED8" w14:textId="7B9A95D1" w:rsidR="00D2138D" w:rsidRPr="00562872" w:rsidRDefault="008E1FEA">
            <w:pPr>
              <w:jc w:val="center"/>
              <w:textAlignment w:val="baseline"/>
              <w:rPr>
                <w:b/>
                <w:bCs/>
                <w:lang w:eastAsia="en-GB"/>
              </w:rPr>
            </w:pPr>
            <w:r>
              <w:rPr>
                <w:b/>
                <w:bCs/>
                <w:lang w:eastAsia="en-GB"/>
              </w:rPr>
              <w:t>9/2/26</w:t>
            </w:r>
          </w:p>
        </w:tc>
      </w:tr>
      <w:tr w:rsidR="00D2138D" w:rsidRPr="00562872" w14:paraId="009BFCA8" w14:textId="203F16D1" w:rsidTr="1B9006B2">
        <w:tc>
          <w:tcPr>
            <w:tcW w:w="5662" w:type="dxa"/>
            <w:tcBorders>
              <w:top w:val="single" w:sz="6" w:space="0" w:color="auto"/>
              <w:left w:val="single" w:sz="6" w:space="0" w:color="auto"/>
              <w:bottom w:val="single" w:sz="6" w:space="0" w:color="auto"/>
              <w:right w:val="single" w:sz="6" w:space="0" w:color="auto"/>
            </w:tcBorders>
            <w:hideMark/>
          </w:tcPr>
          <w:p w14:paraId="5D92B873" w14:textId="77777777" w:rsidR="00D2138D" w:rsidRPr="00562872" w:rsidRDefault="00D2138D">
            <w:pPr>
              <w:textAlignment w:val="baseline"/>
              <w:rPr>
                <w:lang w:eastAsia="en-GB"/>
              </w:rPr>
            </w:pPr>
          </w:p>
        </w:tc>
        <w:tc>
          <w:tcPr>
            <w:tcW w:w="1134" w:type="dxa"/>
            <w:tcBorders>
              <w:top w:val="single" w:sz="6" w:space="0" w:color="auto"/>
              <w:left w:val="single" w:sz="6" w:space="0" w:color="auto"/>
              <w:bottom w:val="single" w:sz="6" w:space="0" w:color="auto"/>
              <w:right w:val="single" w:sz="6" w:space="0" w:color="auto"/>
            </w:tcBorders>
          </w:tcPr>
          <w:p w14:paraId="60BAFD80" w14:textId="23067128" w:rsidR="00D2138D" w:rsidRPr="00562872" w:rsidRDefault="00D2138D">
            <w:pPr>
              <w:jc w:val="center"/>
              <w:textAlignment w:val="baseline"/>
              <w:rPr>
                <w:b/>
                <w:bCs/>
                <w:lang w:eastAsia="en-GB"/>
              </w:rPr>
            </w:pPr>
            <w:r w:rsidRPr="00562872">
              <w:rPr>
                <w:b/>
                <w:bCs/>
                <w:lang w:eastAsia="en-GB"/>
              </w:rPr>
              <w:t>Reviewed by</w:t>
            </w:r>
            <w:r>
              <w:rPr>
                <w:b/>
                <w:bCs/>
                <w:lang w:eastAsia="en-GB"/>
              </w:rPr>
              <w:t xml:space="preserve"> </w:t>
            </w:r>
          </w:p>
        </w:tc>
        <w:tc>
          <w:tcPr>
            <w:tcW w:w="1418" w:type="dxa"/>
            <w:tcBorders>
              <w:top w:val="single" w:sz="6" w:space="0" w:color="auto"/>
              <w:left w:val="single" w:sz="6" w:space="0" w:color="auto"/>
              <w:bottom w:val="single" w:sz="6" w:space="0" w:color="auto"/>
              <w:right w:val="single" w:sz="6" w:space="0" w:color="auto"/>
            </w:tcBorders>
          </w:tcPr>
          <w:p w14:paraId="2F5B1F0D" w14:textId="77777777" w:rsidR="00D2138D" w:rsidRPr="00562872" w:rsidRDefault="00D2138D">
            <w:pPr>
              <w:jc w:val="center"/>
              <w:textAlignment w:val="baseline"/>
              <w:rPr>
                <w:b/>
                <w:bCs/>
                <w:lang w:eastAsia="en-GB"/>
              </w:rPr>
            </w:pPr>
          </w:p>
        </w:tc>
      </w:tr>
      <w:tr w:rsidR="12BE20BA" w14:paraId="6FFBF34E" w14:textId="77777777" w:rsidTr="1B9006B2">
        <w:trPr>
          <w:trHeight w:val="300"/>
        </w:trPr>
        <w:tc>
          <w:tcPr>
            <w:tcW w:w="5662" w:type="dxa"/>
            <w:tcBorders>
              <w:top w:val="single" w:sz="6" w:space="0" w:color="auto"/>
              <w:left w:val="single" w:sz="6" w:space="0" w:color="auto"/>
              <w:bottom w:val="single" w:sz="6" w:space="0" w:color="auto"/>
              <w:right w:val="single" w:sz="6" w:space="0" w:color="auto"/>
            </w:tcBorders>
            <w:hideMark/>
          </w:tcPr>
          <w:p w14:paraId="2127520F" w14:textId="6A9810EE" w:rsidR="5434D6E6" w:rsidRDefault="5434D6E6" w:rsidP="12BE20BA">
            <w:pPr>
              <w:rPr>
                <w:lang w:eastAsia="en-GB"/>
              </w:rPr>
            </w:pPr>
            <w:r w:rsidRPr="1B9006B2">
              <w:rPr>
                <w:lang w:eastAsia="en-GB"/>
              </w:rPr>
              <w:t>Finance comments</w:t>
            </w:r>
            <w:r w:rsidR="3136D806" w:rsidRPr="1B9006B2">
              <w:rPr>
                <w:lang w:eastAsia="en-GB"/>
              </w:rPr>
              <w:t xml:space="preserve"> (circulate to </w:t>
            </w:r>
            <w:r w:rsidR="2F1796F4" w:rsidRPr="1B9006B2">
              <w:rPr>
                <w:lang w:eastAsia="en-GB"/>
              </w:rPr>
              <w:t>F</w:t>
            </w:r>
            <w:r w:rsidR="3136D806" w:rsidRPr="1B9006B2">
              <w:rPr>
                <w:lang w:eastAsia="en-GB"/>
              </w:rPr>
              <w:t>inance)</w:t>
            </w:r>
          </w:p>
        </w:tc>
        <w:tc>
          <w:tcPr>
            <w:tcW w:w="1134" w:type="dxa"/>
            <w:tcBorders>
              <w:top w:val="single" w:sz="6" w:space="0" w:color="auto"/>
              <w:left w:val="single" w:sz="6" w:space="0" w:color="auto"/>
              <w:bottom w:val="single" w:sz="6" w:space="0" w:color="auto"/>
              <w:right w:val="single" w:sz="6" w:space="0" w:color="auto"/>
            </w:tcBorders>
            <w:vAlign w:val="center"/>
          </w:tcPr>
          <w:p w14:paraId="222278AF" w14:textId="7652AD83" w:rsidR="12BE20BA" w:rsidRDefault="00D86878" w:rsidP="12BE20BA">
            <w:pPr>
              <w:jc w:val="center"/>
              <w:rPr>
                <w:b/>
                <w:bCs/>
                <w:lang w:eastAsia="en-GB"/>
              </w:rPr>
            </w:pPr>
            <w:r>
              <w:rPr>
                <w:b/>
                <w:bCs/>
                <w:lang w:eastAsia="en-GB"/>
              </w:rPr>
              <w:t>n/a</w:t>
            </w:r>
          </w:p>
        </w:tc>
        <w:tc>
          <w:tcPr>
            <w:tcW w:w="1418" w:type="dxa"/>
            <w:tcBorders>
              <w:top w:val="single" w:sz="6" w:space="0" w:color="auto"/>
              <w:left w:val="single" w:sz="6" w:space="0" w:color="auto"/>
              <w:bottom w:val="single" w:sz="6" w:space="0" w:color="auto"/>
              <w:right w:val="single" w:sz="6" w:space="0" w:color="auto"/>
            </w:tcBorders>
          </w:tcPr>
          <w:p w14:paraId="662E56C3" w14:textId="005FE44C" w:rsidR="12BE20BA" w:rsidRDefault="12BE20BA" w:rsidP="12BE20BA">
            <w:pPr>
              <w:jc w:val="center"/>
              <w:rPr>
                <w:b/>
                <w:bCs/>
                <w:lang w:eastAsia="en-GB"/>
              </w:rPr>
            </w:pPr>
          </w:p>
        </w:tc>
      </w:tr>
      <w:tr w:rsidR="00D2138D" w:rsidRPr="00562872" w14:paraId="1E7D4475" w14:textId="40815F6F" w:rsidTr="1B9006B2">
        <w:trPr>
          <w:trHeight w:val="300"/>
        </w:trPr>
        <w:tc>
          <w:tcPr>
            <w:tcW w:w="5662" w:type="dxa"/>
            <w:tcBorders>
              <w:top w:val="single" w:sz="6" w:space="0" w:color="auto"/>
              <w:left w:val="single" w:sz="6" w:space="0" w:color="auto"/>
              <w:bottom w:val="single" w:sz="6" w:space="0" w:color="auto"/>
              <w:right w:val="single" w:sz="6" w:space="0" w:color="auto"/>
            </w:tcBorders>
            <w:hideMark/>
          </w:tcPr>
          <w:p w14:paraId="7B3874BF" w14:textId="090A7588" w:rsidR="00D2138D" w:rsidRPr="00562872" w:rsidRDefault="00D2138D">
            <w:pPr>
              <w:textAlignment w:val="baseline"/>
              <w:rPr>
                <w:lang w:eastAsia="en-GB"/>
              </w:rPr>
            </w:pPr>
            <w:r w:rsidRPr="1B9006B2">
              <w:rPr>
                <w:lang w:eastAsia="en-GB"/>
              </w:rPr>
              <w:t>Risk comments</w:t>
            </w:r>
            <w:r w:rsidR="33A8AB4F" w:rsidRPr="1B9006B2">
              <w:rPr>
                <w:lang w:eastAsia="en-GB"/>
              </w:rPr>
              <w:t xml:space="preserve"> (circulate to Lee O’Neil)</w:t>
            </w:r>
          </w:p>
        </w:tc>
        <w:tc>
          <w:tcPr>
            <w:tcW w:w="1134" w:type="dxa"/>
            <w:tcBorders>
              <w:top w:val="single" w:sz="6" w:space="0" w:color="auto"/>
              <w:left w:val="single" w:sz="6" w:space="0" w:color="auto"/>
              <w:bottom w:val="single" w:sz="6" w:space="0" w:color="auto"/>
              <w:right w:val="single" w:sz="6" w:space="0" w:color="auto"/>
            </w:tcBorders>
            <w:vAlign w:val="center"/>
          </w:tcPr>
          <w:p w14:paraId="3FE3BAAD" w14:textId="27FF78E5" w:rsidR="00D2138D" w:rsidRPr="00562872" w:rsidRDefault="00D86878">
            <w:pPr>
              <w:jc w:val="center"/>
              <w:textAlignment w:val="baseline"/>
              <w:rPr>
                <w:b/>
                <w:bCs/>
                <w:lang w:eastAsia="en-GB"/>
              </w:rPr>
            </w:pPr>
            <w:r>
              <w:rPr>
                <w:b/>
                <w:bCs/>
                <w:lang w:eastAsia="en-GB"/>
              </w:rPr>
              <w:t>yes</w:t>
            </w:r>
          </w:p>
        </w:tc>
        <w:tc>
          <w:tcPr>
            <w:tcW w:w="1418" w:type="dxa"/>
            <w:tcBorders>
              <w:top w:val="single" w:sz="6" w:space="0" w:color="auto"/>
              <w:left w:val="single" w:sz="6" w:space="0" w:color="auto"/>
              <w:bottom w:val="single" w:sz="6" w:space="0" w:color="auto"/>
              <w:right w:val="single" w:sz="6" w:space="0" w:color="auto"/>
            </w:tcBorders>
          </w:tcPr>
          <w:p w14:paraId="3E36F5F3" w14:textId="1E3A90C9" w:rsidR="00D2138D" w:rsidRPr="00562872" w:rsidRDefault="00994799">
            <w:pPr>
              <w:jc w:val="center"/>
              <w:textAlignment w:val="baseline"/>
              <w:rPr>
                <w:b/>
                <w:bCs/>
                <w:lang w:eastAsia="en-GB"/>
              </w:rPr>
            </w:pPr>
            <w:r>
              <w:rPr>
                <w:b/>
                <w:bCs/>
                <w:lang w:eastAsia="en-GB"/>
              </w:rPr>
              <w:t>7/1/26</w:t>
            </w:r>
          </w:p>
        </w:tc>
      </w:tr>
      <w:tr w:rsidR="00D2138D" w:rsidRPr="00562872" w14:paraId="3A7CE04B" w14:textId="368C7E7B" w:rsidTr="1B9006B2">
        <w:tc>
          <w:tcPr>
            <w:tcW w:w="5662" w:type="dxa"/>
            <w:tcBorders>
              <w:top w:val="single" w:sz="6" w:space="0" w:color="auto"/>
              <w:left w:val="single" w:sz="6" w:space="0" w:color="auto"/>
              <w:bottom w:val="single" w:sz="6" w:space="0" w:color="auto"/>
              <w:right w:val="single" w:sz="6" w:space="0" w:color="auto"/>
            </w:tcBorders>
          </w:tcPr>
          <w:p w14:paraId="46B80C87" w14:textId="30EA8DB4" w:rsidR="00D2138D" w:rsidRPr="00562872" w:rsidRDefault="00D2138D">
            <w:pPr>
              <w:textAlignment w:val="baseline"/>
              <w:rPr>
                <w:lang w:eastAsia="en-GB"/>
              </w:rPr>
            </w:pPr>
            <w:r w:rsidRPr="1B9006B2">
              <w:rPr>
                <w:lang w:eastAsia="en-GB"/>
              </w:rPr>
              <w:t>Legal comments </w:t>
            </w:r>
            <w:r w:rsidR="6937A1A6" w:rsidRPr="1B9006B2">
              <w:rPr>
                <w:lang w:eastAsia="en-GB"/>
              </w:rPr>
              <w:t>(circulate to Legal team)</w:t>
            </w:r>
          </w:p>
        </w:tc>
        <w:tc>
          <w:tcPr>
            <w:tcW w:w="1134" w:type="dxa"/>
            <w:tcBorders>
              <w:top w:val="single" w:sz="6" w:space="0" w:color="auto"/>
              <w:left w:val="single" w:sz="6" w:space="0" w:color="auto"/>
              <w:bottom w:val="single" w:sz="6" w:space="0" w:color="auto"/>
              <w:right w:val="single" w:sz="6" w:space="0" w:color="auto"/>
            </w:tcBorders>
            <w:hideMark/>
          </w:tcPr>
          <w:p w14:paraId="1DC57096" w14:textId="686100F0" w:rsidR="00D2138D" w:rsidRPr="00562872" w:rsidRDefault="6D51D8A9">
            <w:pPr>
              <w:jc w:val="center"/>
              <w:textAlignment w:val="baseline"/>
              <w:rPr>
                <w:b/>
                <w:bCs/>
                <w:lang w:eastAsia="en-GB"/>
              </w:rPr>
            </w:pPr>
            <w:r w:rsidRPr="5B2A6896">
              <w:rPr>
                <w:b/>
                <w:bCs/>
                <w:lang w:eastAsia="en-GB"/>
              </w:rPr>
              <w:t>LH</w:t>
            </w:r>
          </w:p>
        </w:tc>
        <w:tc>
          <w:tcPr>
            <w:tcW w:w="1418" w:type="dxa"/>
            <w:tcBorders>
              <w:top w:val="single" w:sz="6" w:space="0" w:color="auto"/>
              <w:left w:val="single" w:sz="6" w:space="0" w:color="auto"/>
              <w:bottom w:val="single" w:sz="6" w:space="0" w:color="auto"/>
              <w:right w:val="single" w:sz="6" w:space="0" w:color="auto"/>
            </w:tcBorders>
          </w:tcPr>
          <w:p w14:paraId="46DD0BAD" w14:textId="45C91BD6" w:rsidR="00D2138D" w:rsidRPr="00562872" w:rsidRDefault="6D51D8A9" w:rsidP="5B2A6896">
            <w:pPr>
              <w:spacing w:line="259" w:lineRule="auto"/>
              <w:jc w:val="center"/>
            </w:pPr>
            <w:r w:rsidRPr="5B2A6896">
              <w:rPr>
                <w:b/>
                <w:bCs/>
                <w:lang w:eastAsia="en-GB"/>
              </w:rPr>
              <w:t>09/01/26</w:t>
            </w:r>
          </w:p>
        </w:tc>
      </w:tr>
      <w:tr w:rsidR="00D2138D" w:rsidRPr="00562872" w14:paraId="01AD07BC" w14:textId="2EF54C83" w:rsidTr="1B9006B2">
        <w:tc>
          <w:tcPr>
            <w:tcW w:w="5662" w:type="dxa"/>
            <w:tcBorders>
              <w:top w:val="single" w:sz="6" w:space="0" w:color="auto"/>
              <w:left w:val="single" w:sz="6" w:space="0" w:color="auto"/>
              <w:bottom w:val="single" w:sz="6" w:space="0" w:color="auto"/>
              <w:right w:val="single" w:sz="6" w:space="0" w:color="auto"/>
            </w:tcBorders>
          </w:tcPr>
          <w:p w14:paraId="63B560C1" w14:textId="77777777" w:rsidR="00D2138D" w:rsidRPr="00562872" w:rsidRDefault="00D2138D">
            <w:pPr>
              <w:textAlignment w:val="baseline"/>
              <w:rPr>
                <w:lang w:eastAsia="en-GB"/>
              </w:rPr>
            </w:pPr>
            <w:r w:rsidRPr="00562872">
              <w:rPr>
                <w:lang w:eastAsia="en-GB"/>
              </w:rPr>
              <w:t xml:space="preserve">HR </w:t>
            </w:r>
            <w:r>
              <w:rPr>
                <w:lang w:eastAsia="en-GB"/>
              </w:rPr>
              <w:t>c</w:t>
            </w:r>
            <w:r w:rsidRPr="00562872">
              <w:rPr>
                <w:lang w:eastAsia="en-GB"/>
              </w:rPr>
              <w:t xml:space="preserve">omments </w:t>
            </w:r>
            <w:r>
              <w:rPr>
                <w:lang w:eastAsia="en-GB"/>
              </w:rPr>
              <w:t>(if applicable)</w:t>
            </w:r>
          </w:p>
        </w:tc>
        <w:tc>
          <w:tcPr>
            <w:tcW w:w="1134" w:type="dxa"/>
            <w:tcBorders>
              <w:top w:val="single" w:sz="6" w:space="0" w:color="auto"/>
              <w:left w:val="single" w:sz="6" w:space="0" w:color="auto"/>
              <w:bottom w:val="single" w:sz="6" w:space="0" w:color="auto"/>
              <w:right w:val="single" w:sz="6" w:space="0" w:color="auto"/>
            </w:tcBorders>
            <w:hideMark/>
          </w:tcPr>
          <w:p w14:paraId="404DBF34" w14:textId="55AA0EAC" w:rsidR="00D2138D" w:rsidRPr="00562872" w:rsidRDefault="00BB4D7A">
            <w:pPr>
              <w:textAlignment w:val="baseline"/>
              <w:rPr>
                <w:b/>
                <w:bCs/>
                <w:lang w:eastAsia="en-GB"/>
              </w:rPr>
            </w:pPr>
            <w:r>
              <w:rPr>
                <w:b/>
                <w:bCs/>
                <w:lang w:eastAsia="en-GB"/>
              </w:rPr>
              <w:t>HR report</w:t>
            </w:r>
          </w:p>
        </w:tc>
        <w:tc>
          <w:tcPr>
            <w:tcW w:w="1418" w:type="dxa"/>
            <w:tcBorders>
              <w:top w:val="single" w:sz="6" w:space="0" w:color="auto"/>
              <w:left w:val="single" w:sz="6" w:space="0" w:color="auto"/>
              <w:bottom w:val="single" w:sz="6" w:space="0" w:color="auto"/>
              <w:right w:val="single" w:sz="6" w:space="0" w:color="auto"/>
            </w:tcBorders>
          </w:tcPr>
          <w:p w14:paraId="13851C14" w14:textId="77777777" w:rsidR="00D2138D" w:rsidRPr="00562872" w:rsidRDefault="00D2138D">
            <w:pPr>
              <w:textAlignment w:val="baseline"/>
              <w:rPr>
                <w:b/>
                <w:bCs/>
                <w:lang w:eastAsia="en-GB"/>
              </w:rPr>
            </w:pPr>
          </w:p>
        </w:tc>
      </w:tr>
    </w:tbl>
    <w:p w14:paraId="660E629A" w14:textId="77777777" w:rsidR="009575E7" w:rsidRDefault="009575E7" w:rsidP="009575E7">
      <w:pPr>
        <w:textAlignment w:val="baseline"/>
        <w:rPr>
          <w:b/>
          <w:iCs/>
          <w:lang w:eastAsia="en-GB"/>
        </w:rPr>
      </w:pPr>
    </w:p>
    <w:p w14:paraId="6056BB5C" w14:textId="77989A88" w:rsidR="000A58B0" w:rsidRDefault="00487E3D" w:rsidP="009575E7">
      <w:pPr>
        <w:textAlignment w:val="baseline"/>
        <w:rPr>
          <w:b/>
          <w:iCs/>
          <w:lang w:eastAsia="en-GB"/>
        </w:rPr>
      </w:pPr>
      <w:r>
        <w:rPr>
          <w:b/>
          <w:iCs/>
          <w:lang w:eastAsia="en-GB"/>
        </w:rPr>
        <w:t>For repor</w:t>
      </w:r>
      <w:r w:rsidR="0075185C">
        <w:rPr>
          <w:b/>
          <w:iCs/>
          <w:lang w:eastAsia="en-GB"/>
        </w:rPr>
        <w:t xml:space="preserve">ts </w:t>
      </w:r>
      <w:r>
        <w:rPr>
          <w:b/>
          <w:iCs/>
          <w:lang w:eastAsia="en-GB"/>
        </w:rPr>
        <w:t xml:space="preserve">with material financial or legal implications </w:t>
      </w:r>
      <w:r w:rsidR="008E4B9F">
        <w:rPr>
          <w:b/>
          <w:iCs/>
          <w:lang w:eastAsia="en-GB"/>
        </w:rPr>
        <w:t xml:space="preserve">the author should engage with the respective teams at the outset and receive input </w:t>
      </w:r>
      <w:r w:rsidR="00912F52">
        <w:rPr>
          <w:b/>
          <w:iCs/>
          <w:lang w:eastAsia="en-GB"/>
        </w:rPr>
        <w:t xml:space="preserve">to their reports </w:t>
      </w:r>
      <w:r w:rsidR="008E4B9F">
        <w:rPr>
          <w:b/>
          <w:iCs/>
          <w:lang w:eastAsia="en-GB"/>
        </w:rPr>
        <w:t>pri</w:t>
      </w:r>
      <w:r w:rsidR="0075185C">
        <w:rPr>
          <w:b/>
          <w:iCs/>
          <w:lang w:eastAsia="en-GB"/>
        </w:rPr>
        <w:t>or to asking for MO or s151 comments.</w:t>
      </w:r>
    </w:p>
    <w:p w14:paraId="44DB85AD" w14:textId="77777777" w:rsidR="000A58B0" w:rsidRDefault="000A58B0" w:rsidP="009575E7">
      <w:pPr>
        <w:textAlignment w:val="baseline"/>
        <w:rPr>
          <w:b/>
          <w:iCs/>
          <w:lang w:eastAsia="en-GB"/>
        </w:rPr>
      </w:pPr>
    </w:p>
    <w:p w14:paraId="50E9ADB3" w14:textId="2905214E" w:rsidR="009575E7" w:rsidRPr="00BD617F" w:rsidRDefault="009575E7" w:rsidP="009575E7">
      <w:pPr>
        <w:textAlignment w:val="baseline"/>
        <w:rPr>
          <w:b/>
          <w:i/>
          <w:lang w:eastAsia="en-GB"/>
        </w:rPr>
      </w:pPr>
      <w:r w:rsidRPr="00BD617F">
        <w:rPr>
          <w:b/>
          <w:iCs/>
          <w:lang w:eastAsia="en-GB"/>
        </w:rPr>
        <w:t xml:space="preserve">Do not forward to stage 2 unless all the above have been </w:t>
      </w:r>
      <w:r>
        <w:rPr>
          <w:b/>
          <w:iCs/>
          <w:lang w:eastAsia="en-GB"/>
        </w:rPr>
        <w:t>completed</w:t>
      </w:r>
      <w:r w:rsidRPr="00BD617F">
        <w:rPr>
          <w:b/>
          <w:i/>
          <w:lang w:eastAsia="en-GB"/>
        </w:rPr>
        <w:t>. </w:t>
      </w:r>
    </w:p>
    <w:p w14:paraId="2FB99142" w14:textId="77777777" w:rsidR="009575E7" w:rsidRPr="00562872" w:rsidRDefault="009575E7" w:rsidP="009575E7">
      <w:pPr>
        <w:textAlignment w:val="baseline"/>
        <w:rPr>
          <w:lang w:eastAsia="en-GB"/>
        </w:rPr>
      </w:pPr>
    </w:p>
    <w:p w14:paraId="7D0653A9" w14:textId="77777777" w:rsidR="009575E7" w:rsidRDefault="009575E7" w:rsidP="009575E7">
      <w:pPr>
        <w:textAlignment w:val="baseline"/>
        <w:rPr>
          <w:b/>
          <w:bCs/>
          <w:lang w:eastAsia="en-GB"/>
        </w:rPr>
      </w:pPr>
      <w:r>
        <w:rPr>
          <w:b/>
          <w:bCs/>
          <w:lang w:eastAsia="en-GB"/>
        </w:rPr>
        <w:t>Stage 2</w:t>
      </w:r>
    </w:p>
    <w:p w14:paraId="76C46D8E" w14:textId="77777777" w:rsidR="009575E7" w:rsidRPr="00562872" w:rsidRDefault="009575E7" w:rsidP="009575E7">
      <w:pPr>
        <w:textAlignment w:val="baseline"/>
        <w:rPr>
          <w:lang w:eastAsia="en-GB"/>
        </w:rPr>
      </w:pPr>
      <w:r w:rsidRPr="00562872">
        <w:rPr>
          <w:b/>
          <w:bCs/>
          <w:lang w:eastAsia="en-GB"/>
        </w:rPr>
        <w:t xml:space="preserve">Report </w:t>
      </w:r>
      <w:r>
        <w:rPr>
          <w:b/>
          <w:bCs/>
          <w:lang w:eastAsia="en-GB"/>
        </w:rPr>
        <w:t>c</w:t>
      </w:r>
      <w:r w:rsidRPr="00562872">
        <w:rPr>
          <w:b/>
          <w:bCs/>
          <w:lang w:eastAsia="en-GB"/>
        </w:rPr>
        <w:t>heck</w:t>
      </w:r>
      <w:r>
        <w:rPr>
          <w:b/>
          <w:bCs/>
          <w:lang w:eastAsia="en-GB"/>
        </w:rPr>
        <w:t>l</w:t>
      </w:r>
      <w:r w:rsidRPr="00562872">
        <w:rPr>
          <w:b/>
          <w:bCs/>
          <w:lang w:eastAsia="en-GB"/>
        </w:rPr>
        <w:t>ist – responsibility of report owner</w:t>
      </w:r>
      <w:r w:rsidRPr="00562872">
        <w:rPr>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7"/>
        <w:gridCol w:w="1578"/>
        <w:gridCol w:w="1535"/>
      </w:tblGrid>
      <w:tr w:rsidR="00912F52" w:rsidRPr="00562872" w14:paraId="1050EF12" w14:textId="6D78EC66" w:rsidTr="00E24249">
        <w:tc>
          <w:tcPr>
            <w:tcW w:w="5897" w:type="dxa"/>
            <w:tcBorders>
              <w:top w:val="single" w:sz="6" w:space="0" w:color="auto"/>
              <w:left w:val="single" w:sz="6" w:space="0" w:color="auto"/>
              <w:bottom w:val="single" w:sz="6" w:space="0" w:color="auto"/>
              <w:right w:val="single" w:sz="6" w:space="0" w:color="auto"/>
            </w:tcBorders>
          </w:tcPr>
          <w:p w14:paraId="68ABE7D4" w14:textId="77777777" w:rsidR="00912F52" w:rsidRPr="00443DCE" w:rsidRDefault="00912F52">
            <w:pPr>
              <w:textAlignment w:val="baseline"/>
              <w:rPr>
                <w:b/>
                <w:bCs/>
                <w:lang w:eastAsia="en-GB"/>
              </w:rPr>
            </w:pPr>
            <w:r>
              <w:rPr>
                <w:b/>
                <w:bCs/>
                <w:lang w:eastAsia="en-GB"/>
              </w:rPr>
              <w:t>ITEM</w:t>
            </w:r>
          </w:p>
        </w:tc>
        <w:tc>
          <w:tcPr>
            <w:tcW w:w="1578" w:type="dxa"/>
            <w:tcBorders>
              <w:top w:val="single" w:sz="6" w:space="0" w:color="auto"/>
              <w:left w:val="single" w:sz="6" w:space="0" w:color="auto"/>
              <w:bottom w:val="single" w:sz="6" w:space="0" w:color="auto"/>
              <w:right w:val="single" w:sz="6" w:space="0" w:color="auto"/>
            </w:tcBorders>
          </w:tcPr>
          <w:p w14:paraId="25E9AAFA" w14:textId="492FC440" w:rsidR="00912F52" w:rsidRPr="00562872" w:rsidRDefault="00912F52">
            <w:pPr>
              <w:textAlignment w:val="baseline"/>
              <w:rPr>
                <w:b/>
                <w:bCs/>
                <w:lang w:eastAsia="en-GB"/>
              </w:rPr>
            </w:pPr>
            <w:r w:rsidRPr="00562872">
              <w:rPr>
                <w:b/>
                <w:bCs/>
                <w:lang w:eastAsia="en-GB"/>
              </w:rPr>
              <w:t>Completed by</w:t>
            </w:r>
            <w:r>
              <w:rPr>
                <w:b/>
                <w:bCs/>
                <w:lang w:eastAsia="en-GB"/>
              </w:rPr>
              <w:t xml:space="preserve"> </w:t>
            </w:r>
          </w:p>
        </w:tc>
        <w:tc>
          <w:tcPr>
            <w:tcW w:w="1535" w:type="dxa"/>
            <w:tcBorders>
              <w:top w:val="single" w:sz="6" w:space="0" w:color="auto"/>
              <w:left w:val="single" w:sz="6" w:space="0" w:color="auto"/>
              <w:bottom w:val="single" w:sz="6" w:space="0" w:color="auto"/>
              <w:right w:val="single" w:sz="6" w:space="0" w:color="auto"/>
            </w:tcBorders>
          </w:tcPr>
          <w:p w14:paraId="5312076E" w14:textId="2DFB73A5" w:rsidR="00912F52" w:rsidRPr="00562872" w:rsidRDefault="00A15713">
            <w:pPr>
              <w:textAlignment w:val="baseline"/>
              <w:rPr>
                <w:b/>
                <w:bCs/>
                <w:lang w:eastAsia="en-GB"/>
              </w:rPr>
            </w:pPr>
            <w:r>
              <w:rPr>
                <w:b/>
                <w:bCs/>
                <w:lang w:eastAsia="en-GB"/>
              </w:rPr>
              <w:t>Date</w:t>
            </w:r>
          </w:p>
        </w:tc>
      </w:tr>
      <w:tr w:rsidR="00912F52" w:rsidRPr="00562872" w14:paraId="2D08D097" w14:textId="56ADFBEB" w:rsidTr="00E24249">
        <w:tc>
          <w:tcPr>
            <w:tcW w:w="5897" w:type="dxa"/>
            <w:tcBorders>
              <w:top w:val="single" w:sz="6" w:space="0" w:color="auto"/>
              <w:left w:val="single" w:sz="6" w:space="0" w:color="auto"/>
              <w:bottom w:val="single" w:sz="6" w:space="0" w:color="auto"/>
              <w:right w:val="single" w:sz="6" w:space="0" w:color="auto"/>
            </w:tcBorders>
          </w:tcPr>
          <w:p w14:paraId="0BF04C80" w14:textId="77777777" w:rsidR="00912F52" w:rsidRPr="00562872" w:rsidRDefault="00912F52">
            <w:pPr>
              <w:textAlignment w:val="baseline"/>
              <w:rPr>
                <w:lang w:eastAsia="en-GB"/>
              </w:rPr>
            </w:pPr>
            <w:r w:rsidRPr="00562872">
              <w:rPr>
                <w:lang w:eastAsia="en-GB"/>
              </w:rPr>
              <w:t>Monitoring Officer commentary </w:t>
            </w:r>
            <w:r>
              <w:rPr>
                <w:lang w:eastAsia="en-GB"/>
              </w:rPr>
              <w:t xml:space="preserve">– at least </w:t>
            </w:r>
            <w:r w:rsidRPr="001D35D0">
              <w:rPr>
                <w:b/>
                <w:bCs/>
                <w:lang w:eastAsia="en-GB"/>
              </w:rPr>
              <w:t>5 working days</w:t>
            </w:r>
            <w:r>
              <w:rPr>
                <w:b/>
                <w:bCs/>
                <w:lang w:eastAsia="en-GB"/>
              </w:rPr>
              <w:t xml:space="preserve"> before MAT</w:t>
            </w:r>
            <w:r>
              <w:rPr>
                <w:lang w:eastAsia="en-GB"/>
              </w:rPr>
              <w:t xml:space="preserve"> </w:t>
            </w:r>
          </w:p>
        </w:tc>
        <w:tc>
          <w:tcPr>
            <w:tcW w:w="1578" w:type="dxa"/>
            <w:tcBorders>
              <w:top w:val="single" w:sz="6" w:space="0" w:color="auto"/>
              <w:left w:val="single" w:sz="6" w:space="0" w:color="auto"/>
              <w:bottom w:val="single" w:sz="6" w:space="0" w:color="auto"/>
              <w:right w:val="single" w:sz="6" w:space="0" w:color="auto"/>
            </w:tcBorders>
          </w:tcPr>
          <w:p w14:paraId="1CB37E81" w14:textId="742DEDAC" w:rsidR="00912F52" w:rsidRPr="00562872" w:rsidRDefault="6084BE46">
            <w:pPr>
              <w:textAlignment w:val="baseline"/>
              <w:rPr>
                <w:b/>
                <w:bCs/>
                <w:lang w:eastAsia="en-GB"/>
              </w:rPr>
            </w:pPr>
            <w:r w:rsidRPr="5B2A6896">
              <w:rPr>
                <w:b/>
                <w:bCs/>
                <w:lang w:eastAsia="en-GB"/>
              </w:rPr>
              <w:t xml:space="preserve">L Heron </w:t>
            </w:r>
          </w:p>
        </w:tc>
        <w:tc>
          <w:tcPr>
            <w:tcW w:w="1535" w:type="dxa"/>
            <w:tcBorders>
              <w:top w:val="single" w:sz="6" w:space="0" w:color="auto"/>
              <w:left w:val="single" w:sz="6" w:space="0" w:color="auto"/>
              <w:bottom w:val="single" w:sz="6" w:space="0" w:color="auto"/>
              <w:right w:val="single" w:sz="6" w:space="0" w:color="auto"/>
            </w:tcBorders>
          </w:tcPr>
          <w:p w14:paraId="6BA64D05" w14:textId="4F3736BF" w:rsidR="00912F52" w:rsidRPr="00562872" w:rsidRDefault="6084BE46">
            <w:pPr>
              <w:textAlignment w:val="baseline"/>
              <w:rPr>
                <w:b/>
                <w:bCs/>
                <w:lang w:eastAsia="en-GB"/>
              </w:rPr>
            </w:pPr>
            <w:r w:rsidRPr="5B2A6896">
              <w:rPr>
                <w:b/>
                <w:bCs/>
                <w:lang w:eastAsia="en-GB"/>
              </w:rPr>
              <w:t>09/01/26</w:t>
            </w:r>
          </w:p>
        </w:tc>
      </w:tr>
      <w:tr w:rsidR="00912F52" w:rsidRPr="00562872" w14:paraId="2133A162" w14:textId="7B151F32" w:rsidTr="00E24249">
        <w:tc>
          <w:tcPr>
            <w:tcW w:w="5897" w:type="dxa"/>
            <w:tcBorders>
              <w:top w:val="single" w:sz="6" w:space="0" w:color="auto"/>
              <w:left w:val="single" w:sz="6" w:space="0" w:color="auto"/>
              <w:bottom w:val="single" w:sz="6" w:space="0" w:color="auto"/>
              <w:right w:val="single" w:sz="6" w:space="0" w:color="auto"/>
            </w:tcBorders>
          </w:tcPr>
          <w:p w14:paraId="4636ED66" w14:textId="77777777" w:rsidR="00912F52" w:rsidRPr="00562872" w:rsidRDefault="00912F52">
            <w:pPr>
              <w:textAlignment w:val="baseline"/>
              <w:rPr>
                <w:lang w:eastAsia="en-GB"/>
              </w:rPr>
            </w:pPr>
            <w:r w:rsidRPr="00562872">
              <w:rPr>
                <w:lang w:eastAsia="en-GB"/>
              </w:rPr>
              <w:t>S151 Officer commentary</w:t>
            </w:r>
            <w:r>
              <w:rPr>
                <w:lang w:eastAsia="en-GB"/>
              </w:rPr>
              <w:t xml:space="preserve"> – at least </w:t>
            </w:r>
            <w:r w:rsidRPr="001D35D0">
              <w:rPr>
                <w:b/>
                <w:bCs/>
                <w:lang w:eastAsia="en-GB"/>
              </w:rPr>
              <w:t xml:space="preserve">5 working days </w:t>
            </w:r>
            <w:r>
              <w:rPr>
                <w:b/>
                <w:bCs/>
                <w:lang w:eastAsia="en-GB"/>
              </w:rPr>
              <w:t>before MAT</w:t>
            </w:r>
            <w:r w:rsidRPr="001D35D0">
              <w:rPr>
                <w:b/>
                <w:bCs/>
                <w:lang w:eastAsia="en-GB"/>
              </w:rPr>
              <w:t xml:space="preserve"> </w:t>
            </w:r>
          </w:p>
        </w:tc>
        <w:tc>
          <w:tcPr>
            <w:tcW w:w="1578" w:type="dxa"/>
            <w:tcBorders>
              <w:top w:val="single" w:sz="6" w:space="0" w:color="auto"/>
              <w:left w:val="single" w:sz="6" w:space="0" w:color="auto"/>
              <w:bottom w:val="single" w:sz="6" w:space="0" w:color="auto"/>
              <w:right w:val="single" w:sz="6" w:space="0" w:color="auto"/>
            </w:tcBorders>
          </w:tcPr>
          <w:p w14:paraId="443E32E7" w14:textId="7D8CBFE5" w:rsidR="00912F52" w:rsidRPr="00562872" w:rsidRDefault="2F71B4C7">
            <w:pPr>
              <w:textAlignment w:val="baseline"/>
              <w:rPr>
                <w:b/>
                <w:bCs/>
                <w:lang w:eastAsia="en-GB"/>
              </w:rPr>
            </w:pPr>
            <w:r w:rsidRPr="76BC7279">
              <w:rPr>
                <w:b/>
                <w:bCs/>
                <w:lang w:eastAsia="en-GB"/>
              </w:rPr>
              <w:t>T Collier</w:t>
            </w:r>
          </w:p>
        </w:tc>
        <w:tc>
          <w:tcPr>
            <w:tcW w:w="1535" w:type="dxa"/>
            <w:tcBorders>
              <w:top w:val="single" w:sz="6" w:space="0" w:color="auto"/>
              <w:left w:val="single" w:sz="6" w:space="0" w:color="auto"/>
              <w:bottom w:val="single" w:sz="6" w:space="0" w:color="auto"/>
              <w:right w:val="single" w:sz="6" w:space="0" w:color="auto"/>
            </w:tcBorders>
          </w:tcPr>
          <w:p w14:paraId="745ABAC5" w14:textId="70ED0B6B" w:rsidR="00912F52" w:rsidRPr="00562872" w:rsidRDefault="00AA5C7E">
            <w:pPr>
              <w:textAlignment w:val="baseline"/>
              <w:rPr>
                <w:b/>
                <w:bCs/>
                <w:lang w:eastAsia="en-GB"/>
              </w:rPr>
            </w:pPr>
            <w:r>
              <w:rPr>
                <w:b/>
                <w:bCs/>
                <w:lang w:eastAsia="en-GB"/>
              </w:rPr>
              <w:t>09/1/26</w:t>
            </w:r>
          </w:p>
        </w:tc>
      </w:tr>
      <w:tr w:rsidR="00912F52" w:rsidRPr="00562872" w14:paraId="2CF76360" w14:textId="178C2A5B" w:rsidTr="00E24249">
        <w:tc>
          <w:tcPr>
            <w:tcW w:w="5897" w:type="dxa"/>
            <w:tcBorders>
              <w:top w:val="single" w:sz="6" w:space="0" w:color="auto"/>
              <w:left w:val="single" w:sz="6" w:space="0" w:color="auto"/>
              <w:bottom w:val="single" w:sz="6" w:space="0" w:color="auto"/>
              <w:right w:val="single" w:sz="6" w:space="0" w:color="auto"/>
            </w:tcBorders>
          </w:tcPr>
          <w:p w14:paraId="54C301CB" w14:textId="77777777" w:rsidR="00912F52" w:rsidRPr="00562872" w:rsidRDefault="00912F52">
            <w:pPr>
              <w:textAlignment w:val="baseline"/>
              <w:rPr>
                <w:lang w:eastAsia="en-GB"/>
              </w:rPr>
            </w:pPr>
          </w:p>
        </w:tc>
        <w:tc>
          <w:tcPr>
            <w:tcW w:w="1578" w:type="dxa"/>
            <w:tcBorders>
              <w:top w:val="single" w:sz="6" w:space="0" w:color="auto"/>
              <w:left w:val="single" w:sz="6" w:space="0" w:color="auto"/>
              <w:bottom w:val="single" w:sz="6" w:space="0" w:color="auto"/>
              <w:right w:val="single" w:sz="6" w:space="0" w:color="auto"/>
            </w:tcBorders>
          </w:tcPr>
          <w:p w14:paraId="5828B6BD" w14:textId="4888B858" w:rsidR="00912F52" w:rsidRPr="00562872" w:rsidRDefault="00912F52">
            <w:pPr>
              <w:textAlignment w:val="baseline"/>
              <w:rPr>
                <w:b/>
                <w:bCs/>
                <w:lang w:eastAsia="en-GB"/>
              </w:rPr>
            </w:pPr>
          </w:p>
        </w:tc>
        <w:tc>
          <w:tcPr>
            <w:tcW w:w="1535" w:type="dxa"/>
            <w:tcBorders>
              <w:top w:val="single" w:sz="6" w:space="0" w:color="auto"/>
              <w:left w:val="single" w:sz="6" w:space="0" w:color="auto"/>
              <w:bottom w:val="single" w:sz="6" w:space="0" w:color="auto"/>
              <w:right w:val="single" w:sz="6" w:space="0" w:color="auto"/>
            </w:tcBorders>
          </w:tcPr>
          <w:p w14:paraId="7741B00F" w14:textId="77777777" w:rsidR="00912F52" w:rsidRDefault="00912F52">
            <w:pPr>
              <w:textAlignment w:val="baseline"/>
              <w:rPr>
                <w:b/>
                <w:bCs/>
                <w:lang w:eastAsia="en-GB"/>
              </w:rPr>
            </w:pPr>
          </w:p>
        </w:tc>
      </w:tr>
      <w:tr w:rsidR="00912F52" w:rsidRPr="00562872" w14:paraId="17ADB36C" w14:textId="1A259DF2" w:rsidTr="00E24249">
        <w:tc>
          <w:tcPr>
            <w:tcW w:w="5897" w:type="dxa"/>
            <w:tcBorders>
              <w:top w:val="single" w:sz="6" w:space="0" w:color="auto"/>
              <w:left w:val="single" w:sz="6" w:space="0" w:color="auto"/>
              <w:bottom w:val="single" w:sz="6" w:space="0" w:color="auto"/>
              <w:right w:val="single" w:sz="6" w:space="0" w:color="auto"/>
            </w:tcBorders>
          </w:tcPr>
          <w:p w14:paraId="29AC373D" w14:textId="77777777" w:rsidR="00912F52" w:rsidRPr="00562872" w:rsidRDefault="00912F52">
            <w:pPr>
              <w:textAlignment w:val="baseline"/>
              <w:rPr>
                <w:lang w:eastAsia="en-GB"/>
              </w:rPr>
            </w:pPr>
            <w:r w:rsidRPr="00562872">
              <w:rPr>
                <w:lang w:eastAsia="en-GB"/>
              </w:rPr>
              <w:t>Confirm final report cleared by</w:t>
            </w:r>
            <w:r>
              <w:rPr>
                <w:lang w:eastAsia="en-GB"/>
              </w:rPr>
              <w:t xml:space="preserve"> MAT</w:t>
            </w:r>
            <w:r w:rsidRPr="00562872">
              <w:rPr>
                <w:lang w:eastAsia="en-GB"/>
              </w:rPr>
              <w:t> </w:t>
            </w:r>
          </w:p>
        </w:tc>
        <w:tc>
          <w:tcPr>
            <w:tcW w:w="1578" w:type="dxa"/>
            <w:tcBorders>
              <w:top w:val="single" w:sz="6" w:space="0" w:color="auto"/>
              <w:left w:val="single" w:sz="6" w:space="0" w:color="auto"/>
              <w:bottom w:val="single" w:sz="6" w:space="0" w:color="auto"/>
              <w:right w:val="single" w:sz="6" w:space="0" w:color="auto"/>
            </w:tcBorders>
          </w:tcPr>
          <w:p w14:paraId="4ECFDF13" w14:textId="0E224497" w:rsidR="00912F52" w:rsidRPr="00562872" w:rsidRDefault="08D109B0">
            <w:pPr>
              <w:textAlignment w:val="baseline"/>
              <w:rPr>
                <w:b/>
                <w:bCs/>
                <w:lang w:eastAsia="en-GB"/>
              </w:rPr>
            </w:pPr>
            <w:r w:rsidRPr="76BC7279">
              <w:rPr>
                <w:b/>
                <w:bCs/>
                <w:lang w:eastAsia="en-GB"/>
              </w:rPr>
              <w:t>MAT</w:t>
            </w:r>
          </w:p>
        </w:tc>
        <w:tc>
          <w:tcPr>
            <w:tcW w:w="1535" w:type="dxa"/>
            <w:tcBorders>
              <w:top w:val="single" w:sz="6" w:space="0" w:color="auto"/>
              <w:left w:val="single" w:sz="6" w:space="0" w:color="auto"/>
              <w:bottom w:val="single" w:sz="6" w:space="0" w:color="auto"/>
              <w:right w:val="single" w:sz="6" w:space="0" w:color="auto"/>
            </w:tcBorders>
          </w:tcPr>
          <w:p w14:paraId="30291F69" w14:textId="1FEB8DD4" w:rsidR="00912F52" w:rsidRPr="00562872" w:rsidRDefault="08D109B0">
            <w:pPr>
              <w:textAlignment w:val="baseline"/>
              <w:rPr>
                <w:b/>
                <w:bCs/>
                <w:lang w:eastAsia="en-GB"/>
              </w:rPr>
            </w:pPr>
            <w:r w:rsidRPr="76BC7279">
              <w:rPr>
                <w:b/>
                <w:bCs/>
                <w:lang w:eastAsia="en-GB"/>
              </w:rPr>
              <w:t>21/01/26</w:t>
            </w:r>
          </w:p>
        </w:tc>
      </w:tr>
    </w:tbl>
    <w:p w14:paraId="7DC8EFB3" w14:textId="77777777" w:rsidR="009575E7" w:rsidRPr="00562872" w:rsidRDefault="009575E7" w:rsidP="009575E7">
      <w:pPr>
        <w:textAlignment w:val="baseline"/>
        <w:rPr>
          <w:b/>
          <w:lang w:eastAsia="en-GB"/>
        </w:rPr>
      </w:pPr>
      <w:r w:rsidRPr="00562872">
        <w:rPr>
          <w:b/>
          <w:lang w:eastAsia="en-GB"/>
        </w:rPr>
        <w:t> </w:t>
      </w:r>
    </w:p>
    <w:p w14:paraId="20A0B272" w14:textId="77777777" w:rsidR="009575E7" w:rsidRPr="00562872" w:rsidRDefault="009575E7" w:rsidP="009575E7">
      <w:pPr>
        <w:textAlignment w:val="baseline"/>
        <w:rPr>
          <w:i/>
          <w:color w:val="FF0000"/>
          <w:lang w:eastAsia="en-GB"/>
        </w:rPr>
      </w:pPr>
    </w:p>
    <w:p w14:paraId="4FEA822D" w14:textId="77777777" w:rsidR="009575E7" w:rsidRPr="00562872" w:rsidRDefault="009575E7" w:rsidP="009575E7">
      <w:pPr>
        <w:textAlignment w:val="baseline"/>
        <w:rPr>
          <w:lang w:eastAsia="en-GB"/>
        </w:rPr>
      </w:pPr>
      <w:r w:rsidRPr="00562872">
        <w:rPr>
          <w:lang w:eastAsia="en-GB"/>
        </w:rPr>
        <w:t> </w:t>
      </w:r>
    </w:p>
    <w:p w14:paraId="7290CC1D" w14:textId="77777777" w:rsidR="009575E7" w:rsidRDefault="009575E7" w:rsidP="009575E7"/>
    <w:p w14:paraId="1F7A50CD" w14:textId="0121C418" w:rsidR="00813394" w:rsidRDefault="009575E7" w:rsidP="0010430A">
      <w:pPr>
        <w:rPr>
          <w:rFonts w:cs="Arial"/>
          <w:b/>
          <w:sz w:val="36"/>
          <w:szCs w:val="36"/>
        </w:rPr>
      </w:pPr>
      <w:r>
        <w:rPr>
          <w:rFonts w:cs="Arial"/>
          <w:b/>
          <w:sz w:val="36"/>
          <w:szCs w:val="36"/>
        </w:rPr>
        <w:br w:type="page"/>
      </w:r>
      <w:r w:rsidR="00C06B48">
        <w:rPr>
          <w:rFonts w:cs="Arial"/>
          <w:b/>
          <w:sz w:val="36"/>
          <w:szCs w:val="36"/>
        </w:rPr>
        <w:lastRenderedPageBreak/>
        <w:t>Corporate Policy and Resources Committee</w:t>
      </w:r>
    </w:p>
    <w:p w14:paraId="24E871CA" w14:textId="6BF36FB4" w:rsidR="00813394" w:rsidRPr="001037DD" w:rsidRDefault="001037DD" w:rsidP="001037DD">
      <w:pPr>
        <w:pStyle w:val="Heading2"/>
        <w:numPr>
          <w:ilvl w:val="0"/>
          <w:numId w:val="0"/>
        </w:numPr>
        <w:rPr>
          <w:sz w:val="36"/>
          <w:szCs w:val="36"/>
        </w:rPr>
      </w:pPr>
      <w:r w:rsidRPr="001037DD">
        <w:rPr>
          <w:sz w:val="36"/>
          <w:szCs w:val="36"/>
        </w:rPr>
        <w:t>9 February 2026</w:t>
      </w:r>
    </w:p>
    <w:p w14:paraId="2FE2E0F0" w14:textId="77777777" w:rsidR="001037DD" w:rsidRPr="00265808" w:rsidRDefault="001037DD" w:rsidP="001037DD">
      <w:pPr>
        <w:pStyle w:val="Heading2"/>
        <w:numPr>
          <w:ilvl w:val="0"/>
          <w:numId w:val="0"/>
        </w:numPr>
        <w:rPr>
          <w:b/>
          <w:bCs/>
          <w:sz w:val="32"/>
          <w:szCs w:val="32"/>
        </w:rPr>
      </w:pPr>
    </w:p>
    <w:tbl>
      <w:tblPr>
        <w:tblStyle w:val="TableGrid"/>
        <w:tblpPr w:leftFromText="180" w:rightFromText="180" w:vertAnchor="text" w:horzAnchor="margin" w:tblpXSpec="center" w:tblpY="270"/>
        <w:tblW w:w="10348" w:type="dxa"/>
        <w:tblLook w:val="04A0" w:firstRow="1" w:lastRow="0" w:firstColumn="1" w:lastColumn="0" w:noHBand="0" w:noVBand="1"/>
      </w:tblPr>
      <w:tblGrid>
        <w:gridCol w:w="3148"/>
        <w:gridCol w:w="7200"/>
      </w:tblGrid>
      <w:tr w:rsidR="00FD1EDD" w:rsidRPr="000B420E" w14:paraId="0AE65254" w14:textId="77777777" w:rsidTr="00FD1EDD">
        <w:tc>
          <w:tcPr>
            <w:tcW w:w="3148" w:type="dxa"/>
          </w:tcPr>
          <w:p w14:paraId="576FD12F" w14:textId="0864136D" w:rsidR="00FD1EDD" w:rsidRPr="00D247B0" w:rsidRDefault="00EB5FC6" w:rsidP="00FD1EDD">
            <w:pPr>
              <w:widowControl w:val="0"/>
              <w:spacing w:before="60" w:after="60"/>
              <w:rPr>
                <w:rFonts w:cs="Arial"/>
                <w:b/>
                <w:szCs w:val="24"/>
              </w:rPr>
            </w:pPr>
            <w:r>
              <w:rPr>
                <w:rFonts w:cs="Arial"/>
                <w:b/>
                <w:szCs w:val="24"/>
              </w:rPr>
              <w:t>Title</w:t>
            </w:r>
          </w:p>
        </w:tc>
        <w:tc>
          <w:tcPr>
            <w:tcW w:w="7200" w:type="dxa"/>
          </w:tcPr>
          <w:p w14:paraId="77B8E2EB" w14:textId="06C45925" w:rsidR="00FD1EDD" w:rsidRPr="00265808" w:rsidRDefault="00160752" w:rsidP="00FD1EDD">
            <w:pPr>
              <w:widowControl w:val="0"/>
              <w:spacing w:before="60" w:after="60"/>
              <w:rPr>
                <w:rFonts w:cs="Arial"/>
                <w:bCs/>
                <w:i/>
                <w:iCs/>
                <w:szCs w:val="24"/>
              </w:rPr>
            </w:pPr>
            <w:r>
              <w:rPr>
                <w:rStyle w:val="normaltextrun"/>
                <w:rFonts w:cs="Arial"/>
                <w:color w:val="000000"/>
                <w:shd w:val="clear" w:color="auto" w:fill="FFFFFF"/>
              </w:rPr>
              <w:t>Pay Policy Statement 2026/27</w:t>
            </w:r>
            <w:r>
              <w:rPr>
                <w:rStyle w:val="eop"/>
                <w:rFonts w:cs="Arial"/>
                <w:color w:val="000000"/>
                <w:shd w:val="clear" w:color="auto" w:fill="FFFFFF"/>
              </w:rPr>
              <w:t> </w:t>
            </w:r>
          </w:p>
        </w:tc>
      </w:tr>
      <w:tr w:rsidR="00FD1EDD" w:rsidRPr="000B420E" w14:paraId="0C249826" w14:textId="77777777" w:rsidTr="00FD1EDD">
        <w:tc>
          <w:tcPr>
            <w:tcW w:w="3148" w:type="dxa"/>
          </w:tcPr>
          <w:p w14:paraId="40F104DB" w14:textId="77777777" w:rsidR="00FD1EDD" w:rsidRPr="00087648" w:rsidRDefault="00FD1EDD" w:rsidP="00FD1EDD">
            <w:pPr>
              <w:widowControl w:val="0"/>
              <w:spacing w:before="60" w:after="60"/>
              <w:rPr>
                <w:rFonts w:cs="Arial"/>
                <w:b/>
                <w:szCs w:val="24"/>
              </w:rPr>
            </w:pPr>
            <w:r w:rsidRPr="00087648">
              <w:rPr>
                <w:rFonts w:cs="Arial"/>
                <w:b/>
                <w:szCs w:val="24"/>
              </w:rPr>
              <w:t>Purpose</w:t>
            </w:r>
            <w:r>
              <w:rPr>
                <w:rFonts w:cs="Arial"/>
                <w:b/>
                <w:szCs w:val="24"/>
              </w:rPr>
              <w:t xml:space="preserve"> of the report</w:t>
            </w:r>
          </w:p>
        </w:tc>
        <w:tc>
          <w:tcPr>
            <w:tcW w:w="7200" w:type="dxa"/>
          </w:tcPr>
          <w:p w14:paraId="137F0D0E" w14:textId="2DFF79CA" w:rsidR="00FD1EDD" w:rsidRPr="000B420E" w:rsidRDefault="003B1A1D" w:rsidP="00745368">
            <w:pPr>
              <w:widowControl w:val="0"/>
              <w:tabs>
                <w:tab w:val="left" w:pos="1248"/>
              </w:tabs>
              <w:spacing w:before="60" w:after="60"/>
              <w:rPr>
                <w:rFonts w:cs="Arial"/>
              </w:rPr>
            </w:pPr>
            <w:r>
              <w:rPr>
                <w:rStyle w:val="normaltextrun"/>
                <w:rFonts w:cs="Arial"/>
                <w:color w:val="000000"/>
                <w:shd w:val="clear" w:color="auto" w:fill="FFFFFF"/>
              </w:rPr>
              <w:t>To make a recommendation to</w:t>
            </w:r>
            <w:r w:rsidR="644D3490">
              <w:rPr>
                <w:rStyle w:val="normaltextrun"/>
                <w:rFonts w:cs="Arial"/>
                <w:color w:val="000000"/>
                <w:shd w:val="clear" w:color="auto" w:fill="FFFFFF"/>
              </w:rPr>
              <w:t xml:space="preserve"> </w:t>
            </w:r>
            <w:r>
              <w:rPr>
                <w:rStyle w:val="normaltextrun"/>
                <w:rFonts w:cs="Arial"/>
                <w:color w:val="000000"/>
                <w:shd w:val="clear" w:color="auto" w:fill="FFFFFF"/>
              </w:rPr>
              <w:t>Council</w:t>
            </w:r>
            <w:r>
              <w:rPr>
                <w:rStyle w:val="eop"/>
                <w:rFonts w:cs="Arial"/>
                <w:color w:val="000000"/>
                <w:shd w:val="clear" w:color="auto" w:fill="FFFFFF"/>
              </w:rPr>
              <w:t> </w:t>
            </w:r>
          </w:p>
        </w:tc>
      </w:tr>
      <w:tr w:rsidR="00FD1EDD" w:rsidRPr="000B420E" w14:paraId="22DA09C7" w14:textId="77777777" w:rsidTr="00FD1EDD">
        <w:trPr>
          <w:trHeight w:val="395"/>
        </w:trPr>
        <w:tc>
          <w:tcPr>
            <w:tcW w:w="3148" w:type="dxa"/>
          </w:tcPr>
          <w:p w14:paraId="72ED96E9" w14:textId="77777777" w:rsidR="00FD1EDD" w:rsidRPr="00087648" w:rsidRDefault="00FD1EDD" w:rsidP="00FD1EDD">
            <w:pPr>
              <w:widowControl w:val="0"/>
              <w:spacing w:before="60" w:after="60"/>
              <w:rPr>
                <w:rFonts w:cs="Arial"/>
                <w:b/>
                <w:szCs w:val="24"/>
              </w:rPr>
            </w:pPr>
            <w:r w:rsidRPr="00087648">
              <w:rPr>
                <w:rFonts w:cs="Arial"/>
                <w:b/>
                <w:szCs w:val="24"/>
              </w:rPr>
              <w:t>Report Author</w:t>
            </w:r>
          </w:p>
        </w:tc>
        <w:tc>
          <w:tcPr>
            <w:tcW w:w="7200" w:type="dxa"/>
          </w:tcPr>
          <w:p w14:paraId="1FC34FD3" w14:textId="47231348" w:rsidR="00FD1EDD" w:rsidRPr="000B7DA2" w:rsidRDefault="00A915B3" w:rsidP="00FD1EDD">
            <w:pPr>
              <w:spacing w:before="60" w:after="60"/>
              <w:rPr>
                <w:rFonts w:cs="Arial"/>
                <w:i/>
                <w:iCs/>
                <w:color w:val="FF0000"/>
                <w:szCs w:val="24"/>
              </w:rPr>
            </w:pPr>
            <w:r>
              <w:rPr>
                <w:rStyle w:val="normaltextrun"/>
                <w:rFonts w:cs="Arial"/>
                <w:color w:val="000000"/>
                <w:shd w:val="clear" w:color="auto" w:fill="FFFFFF"/>
              </w:rPr>
              <w:t>Debbie O’Sullivan/Angela Tooth, Human Resources Manager</w:t>
            </w:r>
            <w:r>
              <w:rPr>
                <w:rStyle w:val="eop"/>
                <w:rFonts w:cs="Arial"/>
                <w:color w:val="000000"/>
                <w:shd w:val="clear" w:color="auto" w:fill="FFFFFF"/>
              </w:rPr>
              <w:t> </w:t>
            </w:r>
          </w:p>
        </w:tc>
      </w:tr>
      <w:tr w:rsidR="00FD1EDD" w:rsidRPr="000B420E" w14:paraId="6B1F89D0" w14:textId="77777777" w:rsidTr="00FD1EDD">
        <w:tc>
          <w:tcPr>
            <w:tcW w:w="3148" w:type="dxa"/>
          </w:tcPr>
          <w:p w14:paraId="21B5CCA5" w14:textId="0F5222F6" w:rsidR="00FD1EDD" w:rsidRPr="00087648" w:rsidRDefault="00EB5FC6" w:rsidP="00FD1EDD">
            <w:pPr>
              <w:widowControl w:val="0"/>
              <w:spacing w:before="60" w:after="60"/>
              <w:rPr>
                <w:rFonts w:cs="Arial"/>
                <w:b/>
                <w:szCs w:val="24"/>
              </w:rPr>
            </w:pPr>
            <w:r>
              <w:rPr>
                <w:rFonts w:cs="Arial"/>
                <w:b/>
                <w:szCs w:val="24"/>
              </w:rPr>
              <w:t>Ward(s) Affected</w:t>
            </w:r>
          </w:p>
        </w:tc>
        <w:tc>
          <w:tcPr>
            <w:tcW w:w="7200" w:type="dxa"/>
          </w:tcPr>
          <w:p w14:paraId="56789601" w14:textId="580CA7A6" w:rsidR="00EB5FC6" w:rsidRPr="00265808" w:rsidRDefault="005859DE" w:rsidP="00FD1EDD">
            <w:pPr>
              <w:spacing w:before="60" w:after="60"/>
              <w:rPr>
                <w:rFonts w:cs="Arial"/>
                <w:color w:val="000000" w:themeColor="text1"/>
                <w:szCs w:val="24"/>
              </w:rPr>
            </w:pPr>
            <w:r>
              <w:rPr>
                <w:rFonts w:cs="Arial"/>
                <w:color w:val="000000" w:themeColor="text1"/>
                <w:szCs w:val="24"/>
              </w:rPr>
              <w:t>Not applicable</w:t>
            </w:r>
          </w:p>
        </w:tc>
      </w:tr>
      <w:tr w:rsidR="00FD1EDD" w:rsidRPr="000B420E" w14:paraId="7C76C1E9" w14:textId="77777777" w:rsidTr="00FD1EDD">
        <w:tc>
          <w:tcPr>
            <w:tcW w:w="3148" w:type="dxa"/>
          </w:tcPr>
          <w:p w14:paraId="33F6EE85" w14:textId="007A9526" w:rsidR="00FD1EDD" w:rsidRPr="00087648" w:rsidRDefault="002A6C91" w:rsidP="00FD1EDD">
            <w:pPr>
              <w:widowControl w:val="0"/>
              <w:spacing w:before="60" w:after="60"/>
              <w:rPr>
                <w:rFonts w:cs="Arial"/>
                <w:b/>
                <w:szCs w:val="24"/>
              </w:rPr>
            </w:pPr>
            <w:r>
              <w:rPr>
                <w:rFonts w:cs="Arial"/>
                <w:b/>
                <w:szCs w:val="28"/>
              </w:rPr>
              <w:t>Exempt</w:t>
            </w:r>
          </w:p>
        </w:tc>
        <w:tc>
          <w:tcPr>
            <w:tcW w:w="7200" w:type="dxa"/>
          </w:tcPr>
          <w:p w14:paraId="232924D5" w14:textId="0E653CC2" w:rsidR="00FD1EDD" w:rsidRPr="00265808" w:rsidRDefault="005859DE" w:rsidP="00265808">
            <w:pPr>
              <w:spacing w:before="60" w:after="60"/>
              <w:rPr>
                <w:rFonts w:cs="Arial"/>
                <w:i/>
                <w:iCs/>
                <w:szCs w:val="24"/>
              </w:rPr>
            </w:pPr>
            <w:r>
              <w:rPr>
                <w:rFonts w:cs="Arial"/>
                <w:i/>
                <w:iCs/>
                <w:szCs w:val="24"/>
              </w:rPr>
              <w:t>No</w:t>
            </w:r>
          </w:p>
        </w:tc>
      </w:tr>
      <w:tr w:rsidR="002A6C91" w:rsidRPr="000B420E" w14:paraId="19FD50D2" w14:textId="77777777" w:rsidTr="00FD1EDD">
        <w:tc>
          <w:tcPr>
            <w:tcW w:w="3148" w:type="dxa"/>
          </w:tcPr>
          <w:p w14:paraId="7FEDFAB6" w14:textId="03F45C3D" w:rsidR="002A6C91" w:rsidRDefault="002A6C91" w:rsidP="00FD1EDD">
            <w:pPr>
              <w:widowControl w:val="0"/>
              <w:spacing w:before="60" w:after="60"/>
              <w:rPr>
                <w:rFonts w:cs="Arial"/>
                <w:b/>
                <w:szCs w:val="28"/>
              </w:rPr>
            </w:pPr>
            <w:r>
              <w:rPr>
                <w:rFonts w:cs="Arial"/>
                <w:b/>
                <w:szCs w:val="28"/>
              </w:rPr>
              <w:t>Exemption Reason</w:t>
            </w:r>
          </w:p>
        </w:tc>
        <w:tc>
          <w:tcPr>
            <w:tcW w:w="7200" w:type="dxa"/>
          </w:tcPr>
          <w:p w14:paraId="67B8074F" w14:textId="694AB2B4" w:rsidR="00A15713" w:rsidRPr="000B7BFF" w:rsidRDefault="00ED539B" w:rsidP="00265808">
            <w:pPr>
              <w:spacing w:before="60" w:after="60"/>
              <w:rPr>
                <w:rFonts w:cs="Arial"/>
                <w:szCs w:val="24"/>
              </w:rPr>
            </w:pPr>
            <w:r>
              <w:t>Not applicable</w:t>
            </w:r>
          </w:p>
        </w:tc>
      </w:tr>
      <w:tr w:rsidR="00FD1EDD" w:rsidRPr="000B420E" w14:paraId="565623BA" w14:textId="77777777" w:rsidTr="00FD1EDD">
        <w:tc>
          <w:tcPr>
            <w:tcW w:w="3148" w:type="dxa"/>
          </w:tcPr>
          <w:p w14:paraId="72FA133C" w14:textId="77777777" w:rsidR="00FD1EDD" w:rsidRPr="00087648" w:rsidRDefault="00FD1EDD" w:rsidP="00FD1EDD">
            <w:pPr>
              <w:widowControl w:val="0"/>
              <w:spacing w:before="60" w:after="60"/>
              <w:rPr>
                <w:rFonts w:cs="Arial"/>
                <w:b/>
                <w:szCs w:val="24"/>
              </w:rPr>
            </w:pPr>
            <w:r>
              <w:rPr>
                <w:rFonts w:cs="Arial"/>
                <w:b/>
                <w:szCs w:val="24"/>
              </w:rPr>
              <w:t>Corporate Priority</w:t>
            </w:r>
          </w:p>
        </w:tc>
        <w:tc>
          <w:tcPr>
            <w:tcW w:w="7200" w:type="dxa"/>
          </w:tcPr>
          <w:p w14:paraId="4FD18251" w14:textId="4276198D" w:rsidR="00FD1EDD" w:rsidRDefault="00354112" w:rsidP="00FD1EDD">
            <w:pPr>
              <w:spacing w:before="60" w:after="60"/>
              <w:rPr>
                <w:rFonts w:cs="Arial"/>
                <w:szCs w:val="24"/>
              </w:rPr>
            </w:pPr>
            <w:r>
              <w:rPr>
                <w:rStyle w:val="normaltextrun"/>
                <w:rFonts w:cs="Arial"/>
                <w:color w:val="000000"/>
                <w:shd w:val="clear" w:color="auto" w:fill="FFFFFF"/>
              </w:rPr>
              <w:t>This item is not in the current list of Corporate Priorities but still requires a Committee/Council decision</w:t>
            </w:r>
            <w:r>
              <w:rPr>
                <w:rStyle w:val="eop"/>
                <w:rFonts w:cs="Arial"/>
                <w:color w:val="000000"/>
                <w:shd w:val="clear" w:color="auto" w:fill="FFFFFF"/>
              </w:rPr>
              <w:t> </w:t>
            </w:r>
          </w:p>
          <w:p w14:paraId="73065E22" w14:textId="32A06F10" w:rsidR="008E266D" w:rsidRDefault="008E266D" w:rsidP="00FD1EDD">
            <w:pPr>
              <w:spacing w:before="60" w:after="60"/>
              <w:rPr>
                <w:rFonts w:cs="Arial"/>
                <w:szCs w:val="24"/>
              </w:rPr>
            </w:pPr>
          </w:p>
        </w:tc>
      </w:tr>
      <w:tr w:rsidR="00FD1EDD" w:rsidRPr="000B420E" w14:paraId="7109C276" w14:textId="77777777" w:rsidTr="00FD1EDD">
        <w:tc>
          <w:tcPr>
            <w:tcW w:w="3148" w:type="dxa"/>
          </w:tcPr>
          <w:p w14:paraId="41A58DA2" w14:textId="77777777" w:rsidR="00FD1EDD" w:rsidRPr="00087648" w:rsidRDefault="00FD1EDD" w:rsidP="00FD1EDD">
            <w:pPr>
              <w:widowControl w:val="0"/>
              <w:spacing w:before="60" w:after="60"/>
              <w:rPr>
                <w:rFonts w:cs="Arial"/>
                <w:b/>
                <w:szCs w:val="24"/>
              </w:rPr>
            </w:pPr>
            <w:r w:rsidRPr="00087648">
              <w:rPr>
                <w:rFonts w:cs="Arial"/>
                <w:b/>
                <w:szCs w:val="24"/>
              </w:rPr>
              <w:t>Recommendations</w:t>
            </w:r>
          </w:p>
          <w:p w14:paraId="07374B62" w14:textId="77777777" w:rsidR="00FD1EDD" w:rsidRPr="00087648" w:rsidRDefault="00FD1EDD" w:rsidP="00FD1EDD">
            <w:pPr>
              <w:widowControl w:val="0"/>
              <w:spacing w:before="60" w:after="60"/>
              <w:rPr>
                <w:rFonts w:cs="Arial"/>
                <w:b/>
                <w:szCs w:val="24"/>
              </w:rPr>
            </w:pPr>
          </w:p>
        </w:tc>
        <w:tc>
          <w:tcPr>
            <w:tcW w:w="7200" w:type="dxa"/>
          </w:tcPr>
          <w:p w14:paraId="6F53A5AC" w14:textId="6A183CF9" w:rsidR="00FD1EDD" w:rsidRPr="00D247B0" w:rsidRDefault="00FD1EDD" w:rsidP="00FD1EDD">
            <w:pPr>
              <w:spacing w:before="60" w:after="60"/>
              <w:rPr>
                <w:b/>
              </w:rPr>
            </w:pPr>
            <w:r>
              <w:rPr>
                <w:b/>
              </w:rPr>
              <w:t>Committee</w:t>
            </w:r>
            <w:r w:rsidRPr="00D247B0">
              <w:rPr>
                <w:b/>
              </w:rPr>
              <w:t xml:space="preserve"> is asked to:</w:t>
            </w:r>
          </w:p>
          <w:p w14:paraId="7E3FCF89" w14:textId="220C8FF0" w:rsidR="00FD1EDD" w:rsidRPr="00D247B0" w:rsidRDefault="6D98292D" w:rsidP="00B32483">
            <w:pPr>
              <w:spacing w:before="60" w:after="60"/>
              <w:rPr>
                <w:b/>
              </w:rPr>
            </w:pPr>
            <w:r>
              <w:rPr>
                <w:rStyle w:val="normaltextrun"/>
                <w:rFonts w:cs="Arial"/>
                <w:color w:val="000000"/>
                <w:shd w:val="clear" w:color="auto" w:fill="FFFFFF"/>
              </w:rPr>
              <w:t>Agree</w:t>
            </w:r>
            <w:r w:rsidR="009D1E32">
              <w:rPr>
                <w:rStyle w:val="normaltextrun"/>
                <w:rFonts w:cs="Arial"/>
                <w:color w:val="000000"/>
                <w:shd w:val="clear" w:color="auto" w:fill="FFFFFF"/>
              </w:rPr>
              <w:t xml:space="preserve"> the Pay Policy Statement </w:t>
            </w:r>
            <w:r>
              <w:rPr>
                <w:rStyle w:val="normaltextrun"/>
                <w:rFonts w:cs="Arial"/>
                <w:color w:val="000000"/>
                <w:shd w:val="clear" w:color="auto" w:fill="FFFFFF"/>
              </w:rPr>
              <w:t>and r</w:t>
            </w:r>
            <w:r w:rsidR="0183F3F0">
              <w:rPr>
                <w:rStyle w:val="normaltextrun"/>
                <w:rFonts w:cs="Arial"/>
                <w:color w:val="000000"/>
                <w:shd w:val="clear" w:color="auto" w:fill="FFFFFF"/>
              </w:rPr>
              <w:t xml:space="preserve">ecommend to Council </w:t>
            </w:r>
            <w:r w:rsidR="64D48649">
              <w:rPr>
                <w:rStyle w:val="normaltextrun"/>
                <w:rFonts w:cs="Arial"/>
                <w:color w:val="000000"/>
                <w:shd w:val="clear" w:color="auto" w:fill="FFFFFF"/>
              </w:rPr>
              <w:t>for</w:t>
            </w:r>
            <w:r w:rsidR="0183F3F0">
              <w:rPr>
                <w:rStyle w:val="normaltextrun"/>
                <w:rFonts w:cs="Arial"/>
                <w:color w:val="000000"/>
                <w:shd w:val="clear" w:color="auto" w:fill="FFFFFF"/>
              </w:rPr>
              <w:t xml:space="preserve"> approv</w:t>
            </w:r>
            <w:r w:rsidR="47ED4392">
              <w:rPr>
                <w:rStyle w:val="normaltextrun"/>
                <w:rFonts w:cs="Arial"/>
                <w:color w:val="000000"/>
                <w:shd w:val="clear" w:color="auto" w:fill="FFFFFF"/>
              </w:rPr>
              <w:t>al</w:t>
            </w:r>
            <w:r w:rsidR="009D1E32">
              <w:rPr>
                <w:rStyle w:val="normaltextrun"/>
                <w:rFonts w:cs="Arial"/>
                <w:color w:val="000000"/>
                <w:shd w:val="clear" w:color="auto" w:fill="FFFFFF"/>
              </w:rPr>
              <w:t>. </w:t>
            </w:r>
            <w:r w:rsidR="009D1E32">
              <w:rPr>
                <w:rStyle w:val="eop"/>
                <w:rFonts w:cs="Arial"/>
                <w:color w:val="000000"/>
                <w:shd w:val="clear" w:color="auto" w:fill="FFFFFF"/>
              </w:rPr>
              <w:t> </w:t>
            </w:r>
          </w:p>
        </w:tc>
      </w:tr>
      <w:tr w:rsidR="00FD1EDD" w:rsidRPr="000B420E" w14:paraId="0F86FDFB" w14:textId="77777777" w:rsidTr="00FD1EDD">
        <w:tc>
          <w:tcPr>
            <w:tcW w:w="3148" w:type="dxa"/>
          </w:tcPr>
          <w:p w14:paraId="1E762746" w14:textId="77777777" w:rsidR="00FD1EDD" w:rsidRPr="00087648" w:rsidRDefault="00FD1EDD" w:rsidP="00FD1EDD">
            <w:pPr>
              <w:widowControl w:val="0"/>
              <w:spacing w:before="60" w:after="60"/>
              <w:rPr>
                <w:rFonts w:cs="Arial"/>
                <w:b/>
                <w:szCs w:val="24"/>
              </w:rPr>
            </w:pPr>
            <w:r>
              <w:rPr>
                <w:rFonts w:cs="Arial"/>
                <w:b/>
                <w:szCs w:val="24"/>
              </w:rPr>
              <w:t>Reason for Recommendation</w:t>
            </w:r>
          </w:p>
        </w:tc>
        <w:tc>
          <w:tcPr>
            <w:tcW w:w="7200" w:type="dxa"/>
          </w:tcPr>
          <w:p w14:paraId="24C40881" w14:textId="221B7F8A" w:rsidR="00FD1EDD" w:rsidRPr="00530491" w:rsidRDefault="00840A0A" w:rsidP="00FD1EDD">
            <w:pPr>
              <w:spacing w:before="60" w:after="60"/>
              <w:rPr>
                <w:b/>
              </w:rPr>
            </w:pPr>
            <w:r>
              <w:rPr>
                <w:rStyle w:val="normaltextrun"/>
                <w:rFonts w:cs="Arial"/>
                <w:color w:val="000000"/>
                <w:bdr w:val="none" w:sz="0" w:space="0" w:color="auto" w:frame="1"/>
              </w:rPr>
              <w:t>The Pay Policy Statement must be agreed by Council and be published by 31 March each year.</w:t>
            </w:r>
          </w:p>
        </w:tc>
      </w:tr>
    </w:tbl>
    <w:p w14:paraId="3F9F34B4" w14:textId="77777777" w:rsidR="00813394" w:rsidRDefault="00813394" w:rsidP="00D247B0">
      <w:pPr>
        <w:pStyle w:val="Heading2"/>
        <w:numPr>
          <w:ilvl w:val="0"/>
          <w:numId w:val="0"/>
        </w:numPr>
        <w:ind w:left="567" w:hanging="567"/>
      </w:pPr>
    </w:p>
    <w:p w14:paraId="36FF37EB" w14:textId="0596634B" w:rsidR="008A7752" w:rsidRPr="00745368" w:rsidRDefault="00953C4C" w:rsidP="00D31629">
      <w:pPr>
        <w:pStyle w:val="Mainnumber"/>
        <w:rPr>
          <w:b w:val="0"/>
          <w:bCs w:val="0"/>
          <w:i/>
          <w:iCs/>
        </w:rPr>
      </w:pPr>
      <w:r>
        <w:t>Executive s</w:t>
      </w:r>
      <w:r w:rsidR="008A7752">
        <w:t>ummary of the report</w:t>
      </w:r>
      <w:r w:rsidR="003C2B83">
        <w:t xml:space="preserve"> </w:t>
      </w:r>
    </w:p>
    <w:tbl>
      <w:tblPr>
        <w:tblW w:w="5745" w:type="pct"/>
        <w:tblInd w:w="-719" w:type="dxa"/>
        <w:tblCellMar>
          <w:left w:w="0" w:type="dxa"/>
          <w:right w:w="0" w:type="dxa"/>
        </w:tblCellMar>
        <w:tblLook w:val="0420" w:firstRow="1" w:lastRow="0" w:firstColumn="0" w:lastColumn="0" w:noHBand="0" w:noVBand="1"/>
      </w:tblPr>
      <w:tblGrid>
        <w:gridCol w:w="5124"/>
        <w:gridCol w:w="5224"/>
      </w:tblGrid>
      <w:tr w:rsidR="00CD2289" w:rsidRPr="00D32A71" w14:paraId="13E6B1DE" w14:textId="77777777" w:rsidTr="00FE5ECA">
        <w:trPr>
          <w:trHeight w:val="284"/>
        </w:trPr>
        <w:tc>
          <w:tcPr>
            <w:tcW w:w="2476" w:type="pct"/>
            <w:tcBorders>
              <w:top w:val="single" w:sz="8" w:space="0" w:color="000000"/>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hideMark/>
          </w:tcPr>
          <w:p w14:paraId="2AEBDBB3" w14:textId="77777777" w:rsidR="00CD2289" w:rsidRPr="00D32A71" w:rsidRDefault="00CD2289">
            <w:pPr>
              <w:spacing w:line="259" w:lineRule="auto"/>
              <w:rPr>
                <w:rFonts w:ascii="Calibri Light" w:hAnsi="Calibri Light"/>
                <w:kern w:val="2"/>
                <w14:ligatures w14:val="standardContextual"/>
              </w:rPr>
            </w:pPr>
            <w:r w:rsidRPr="00D32A71">
              <w:rPr>
                <w:rFonts w:ascii="Calibri Light" w:hAnsi="Calibri Light"/>
                <w:b/>
                <w:bCs/>
                <w:kern w:val="2"/>
                <w14:ligatures w14:val="standardContextual"/>
              </w:rPr>
              <w:t>What is the situation</w:t>
            </w:r>
          </w:p>
        </w:tc>
        <w:tc>
          <w:tcPr>
            <w:tcW w:w="2524" w:type="pct"/>
            <w:tcBorders>
              <w:top w:val="single" w:sz="8" w:space="0" w:color="000000"/>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hideMark/>
          </w:tcPr>
          <w:p w14:paraId="35583499" w14:textId="77777777" w:rsidR="00CD2289" w:rsidRPr="00D32A71" w:rsidRDefault="00CD2289">
            <w:pPr>
              <w:spacing w:line="259" w:lineRule="auto"/>
              <w:rPr>
                <w:rFonts w:ascii="Calibri Light" w:hAnsi="Calibri Light"/>
                <w:kern w:val="2"/>
                <w14:ligatures w14:val="standardContextual"/>
              </w:rPr>
            </w:pPr>
            <w:r w:rsidRPr="00D32A71">
              <w:rPr>
                <w:rFonts w:ascii="Calibri Light" w:hAnsi="Calibri Light"/>
                <w:b/>
                <w:bCs/>
                <w:kern w:val="2"/>
                <w14:ligatures w14:val="standardContextual"/>
              </w:rPr>
              <w:t>Why we want to do something</w:t>
            </w:r>
          </w:p>
        </w:tc>
      </w:tr>
      <w:tr w:rsidR="00CD2289" w:rsidRPr="00D32A71" w14:paraId="6541E625" w14:textId="77777777" w:rsidTr="00FE5ECA">
        <w:trPr>
          <w:trHeight w:val="527"/>
        </w:trPr>
        <w:tc>
          <w:tcPr>
            <w:tcW w:w="24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4254CA" w14:textId="56164F2C" w:rsidR="00CD2289" w:rsidRPr="00D32A71" w:rsidRDefault="00B56B56" w:rsidP="00BE3A3D">
            <w:pPr>
              <w:numPr>
                <w:ilvl w:val="0"/>
                <w:numId w:val="3"/>
              </w:numPr>
              <w:spacing w:after="60" w:line="259" w:lineRule="auto"/>
              <w:ind w:left="714" w:hanging="357"/>
              <w:rPr>
                <w:rFonts w:ascii="Calibri Light" w:hAnsi="Calibri Light"/>
                <w:kern w:val="2"/>
                <w14:ligatures w14:val="standardContextual"/>
              </w:rPr>
            </w:pPr>
            <w:r>
              <w:rPr>
                <w:rStyle w:val="normaltextrun"/>
                <w:rFonts w:ascii="Calibri Light" w:hAnsi="Calibri Light" w:cs="Calibri Light"/>
                <w:shd w:val="clear" w:color="auto" w:fill="FFFFFF"/>
              </w:rPr>
              <w:t>Annual Pay Policy to be published to enable payments to be made for the next financial year 2026/27.</w:t>
            </w:r>
          </w:p>
        </w:tc>
        <w:tc>
          <w:tcPr>
            <w:tcW w:w="252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BB7344" w14:textId="1D8CAB65" w:rsidR="00CD2289" w:rsidRPr="00745368" w:rsidRDefault="002171A6" w:rsidP="00BE3A3D">
            <w:pPr>
              <w:numPr>
                <w:ilvl w:val="0"/>
                <w:numId w:val="3"/>
              </w:numPr>
              <w:spacing w:after="60" w:line="259" w:lineRule="auto"/>
              <w:ind w:left="714" w:hanging="357"/>
              <w:rPr>
                <w:rFonts w:ascii="Calibri Light" w:hAnsi="Calibri Light"/>
                <w:i/>
                <w:iCs/>
                <w:kern w:val="2"/>
                <w14:ligatures w14:val="standardContextual"/>
              </w:rPr>
            </w:pPr>
            <w:r>
              <w:rPr>
                <w:rStyle w:val="normaltextrun"/>
                <w:rFonts w:ascii="Calibri Light" w:hAnsi="Calibri Light" w:cs="Calibri Light"/>
                <w:color w:val="000000"/>
                <w:shd w:val="clear" w:color="auto" w:fill="FFFFFF"/>
              </w:rPr>
              <w:t>It is a statutory requirement to publish the Pay Policy by 31 March each year</w:t>
            </w:r>
            <w:r>
              <w:rPr>
                <w:rStyle w:val="eop"/>
                <w:rFonts w:ascii="Calibri Light" w:hAnsi="Calibri Light" w:cs="Calibri Light"/>
                <w:color w:val="000000"/>
                <w:shd w:val="clear" w:color="auto" w:fill="FFFFFF"/>
              </w:rPr>
              <w:t> </w:t>
            </w:r>
          </w:p>
        </w:tc>
      </w:tr>
      <w:tr w:rsidR="00CD2289" w:rsidRPr="00D32A71" w14:paraId="00B61314" w14:textId="77777777" w:rsidTr="00FE5ECA">
        <w:trPr>
          <w:trHeight w:val="249"/>
        </w:trPr>
        <w:tc>
          <w:tcPr>
            <w:tcW w:w="2476" w:type="pct"/>
            <w:tcBorders>
              <w:top w:val="single" w:sz="8" w:space="0" w:color="000000"/>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hideMark/>
          </w:tcPr>
          <w:p w14:paraId="2C270F9B" w14:textId="77777777" w:rsidR="00CD2289" w:rsidRPr="00D32A71" w:rsidRDefault="00CD2289">
            <w:pPr>
              <w:spacing w:line="259" w:lineRule="auto"/>
              <w:rPr>
                <w:rFonts w:ascii="Calibri Light" w:hAnsi="Calibri Light"/>
                <w:kern w:val="2"/>
                <w14:ligatures w14:val="standardContextual"/>
              </w:rPr>
            </w:pPr>
            <w:r w:rsidRPr="00D32A71">
              <w:rPr>
                <w:rFonts w:ascii="Calibri Light" w:hAnsi="Calibri Light"/>
                <w:b/>
                <w:bCs/>
                <w:kern w:val="2"/>
                <w14:ligatures w14:val="standardContextual"/>
              </w:rPr>
              <w:t>This is what we want to do about it</w:t>
            </w:r>
          </w:p>
        </w:tc>
        <w:tc>
          <w:tcPr>
            <w:tcW w:w="2524" w:type="pct"/>
            <w:tcBorders>
              <w:top w:val="single" w:sz="8" w:space="0" w:color="000000"/>
              <w:left w:val="single" w:sz="8" w:space="0" w:color="000000"/>
              <w:bottom w:val="single" w:sz="8" w:space="0" w:color="000000"/>
              <w:right w:val="single" w:sz="8" w:space="0" w:color="000000"/>
            </w:tcBorders>
            <w:shd w:val="clear" w:color="auto" w:fill="A9D18E"/>
            <w:tcMar>
              <w:top w:w="72" w:type="dxa"/>
              <w:left w:w="144" w:type="dxa"/>
              <w:bottom w:w="72" w:type="dxa"/>
              <w:right w:w="144" w:type="dxa"/>
            </w:tcMar>
            <w:hideMark/>
          </w:tcPr>
          <w:p w14:paraId="718E71F1" w14:textId="77777777" w:rsidR="00CD2289" w:rsidRPr="00D32A71" w:rsidRDefault="00CD2289">
            <w:pPr>
              <w:spacing w:line="259" w:lineRule="auto"/>
              <w:rPr>
                <w:rFonts w:ascii="Calibri Light" w:hAnsi="Calibri Light"/>
                <w:kern w:val="2"/>
                <w14:ligatures w14:val="standardContextual"/>
              </w:rPr>
            </w:pPr>
            <w:r w:rsidRPr="00D32A71">
              <w:rPr>
                <w:rFonts w:ascii="Calibri Light" w:hAnsi="Calibri Light"/>
                <w:b/>
                <w:bCs/>
                <w:kern w:val="2"/>
                <w14:ligatures w14:val="standardContextual"/>
              </w:rPr>
              <w:t>These are the next steps</w:t>
            </w:r>
          </w:p>
        </w:tc>
      </w:tr>
      <w:tr w:rsidR="00CD2289" w:rsidRPr="00D32A71" w14:paraId="50494EA6" w14:textId="77777777" w:rsidTr="00FE5ECA">
        <w:trPr>
          <w:trHeight w:val="527"/>
        </w:trPr>
        <w:tc>
          <w:tcPr>
            <w:tcW w:w="24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06A8BA" w14:textId="769D4622" w:rsidR="00CD2289" w:rsidRPr="00D32A71" w:rsidRDefault="004773CE" w:rsidP="00BE3A3D">
            <w:pPr>
              <w:numPr>
                <w:ilvl w:val="0"/>
                <w:numId w:val="3"/>
              </w:numPr>
              <w:spacing w:after="60" w:line="259" w:lineRule="auto"/>
              <w:ind w:left="714" w:hanging="357"/>
              <w:rPr>
                <w:rFonts w:ascii="Calibri Light" w:hAnsi="Calibri Light"/>
                <w:kern w:val="2"/>
                <w14:ligatures w14:val="standardContextual"/>
              </w:rPr>
            </w:pPr>
            <w:r>
              <w:rPr>
                <w:rStyle w:val="normaltextrun"/>
                <w:rFonts w:ascii="Calibri Light" w:hAnsi="Calibri Light" w:cs="Calibri Light"/>
                <w:color w:val="000000"/>
                <w:shd w:val="clear" w:color="auto" w:fill="FFFFFF"/>
              </w:rPr>
              <w:t>Recommend to Council that the Pay Policy Statement is approved</w:t>
            </w:r>
            <w:r>
              <w:rPr>
                <w:rStyle w:val="eop"/>
                <w:rFonts w:ascii="Calibri Light" w:hAnsi="Calibri Light" w:cs="Calibri Light"/>
                <w:color w:val="000000"/>
                <w:shd w:val="clear" w:color="auto" w:fill="FFFFFF"/>
              </w:rPr>
              <w:t> </w:t>
            </w:r>
          </w:p>
        </w:tc>
        <w:tc>
          <w:tcPr>
            <w:tcW w:w="252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83C5D4" w14:textId="6570A0C5" w:rsidR="00CD2289" w:rsidRPr="00745368" w:rsidRDefault="00391D60" w:rsidP="00BE3A3D">
            <w:pPr>
              <w:pStyle w:val="ListParagraph"/>
              <w:numPr>
                <w:ilvl w:val="0"/>
                <w:numId w:val="3"/>
              </w:numPr>
              <w:spacing w:after="60" w:line="259" w:lineRule="auto"/>
              <w:rPr>
                <w:rFonts w:ascii="Calibri Light" w:hAnsi="Calibri Light"/>
                <w:i/>
                <w:iCs/>
                <w:kern w:val="2"/>
                <w14:ligatures w14:val="standardContextual"/>
              </w:rPr>
            </w:pPr>
            <w:r>
              <w:rPr>
                <w:rStyle w:val="normaltextrun"/>
                <w:rFonts w:ascii="Calibri Light" w:hAnsi="Calibri Light" w:cs="Calibri Light"/>
                <w:color w:val="000000"/>
                <w:shd w:val="clear" w:color="auto" w:fill="FFFFFF"/>
              </w:rPr>
              <w:t>Full Council to consider and approve so the Pay Policy can be published in line with requirements.</w:t>
            </w:r>
            <w:r>
              <w:rPr>
                <w:rStyle w:val="eop"/>
                <w:rFonts w:ascii="Calibri Light" w:hAnsi="Calibri Light" w:cs="Calibri Light"/>
                <w:color w:val="000000"/>
                <w:shd w:val="clear" w:color="auto" w:fill="FFFFFF"/>
              </w:rPr>
              <w:t> </w:t>
            </w:r>
          </w:p>
        </w:tc>
      </w:tr>
    </w:tbl>
    <w:p w14:paraId="515AFEC0" w14:textId="77777777" w:rsidR="00CD2289" w:rsidRDefault="00CD2289" w:rsidP="00CD2289">
      <w:pPr>
        <w:pStyle w:val="Mainnumber"/>
        <w:numPr>
          <w:ilvl w:val="0"/>
          <w:numId w:val="0"/>
        </w:numPr>
      </w:pPr>
    </w:p>
    <w:p w14:paraId="5D04BD70" w14:textId="171884CE" w:rsidR="00847DFF" w:rsidRPr="009D6592" w:rsidRDefault="00C637A2" w:rsidP="009D6592">
      <w:pPr>
        <w:pStyle w:val="Mainnumber"/>
        <w:rPr>
          <w:rStyle w:val="normaltextrun"/>
        </w:rPr>
      </w:pPr>
      <w:r w:rsidRPr="00E00BDF">
        <w:t>Key issues</w:t>
      </w:r>
    </w:p>
    <w:p w14:paraId="6BCC8C16" w14:textId="42D4E759" w:rsidR="00534EAC" w:rsidRDefault="009D6592" w:rsidP="009D6592">
      <w:pPr>
        <w:pStyle w:val="paragraph"/>
        <w:spacing w:before="0" w:beforeAutospacing="0" w:after="0" w:afterAutospacing="0"/>
        <w:ind w:left="720" w:hanging="720"/>
        <w:textAlignment w:val="baseline"/>
        <w:rPr>
          <w:rFonts w:ascii="Arial" w:hAnsi="Arial" w:cs="Arial"/>
        </w:rPr>
      </w:pPr>
      <w:r>
        <w:rPr>
          <w:rStyle w:val="normaltextrun"/>
          <w:rFonts w:ascii="Arial" w:hAnsi="Arial" w:cs="Arial"/>
        </w:rPr>
        <w:t>2.1</w:t>
      </w:r>
      <w:r>
        <w:rPr>
          <w:rStyle w:val="normaltextrun"/>
          <w:rFonts w:ascii="Arial" w:hAnsi="Arial" w:cs="Arial"/>
        </w:rPr>
        <w:tab/>
      </w:r>
      <w:r w:rsidR="00534EAC">
        <w:rPr>
          <w:rStyle w:val="normaltextrun"/>
          <w:rFonts w:ascii="Arial" w:hAnsi="Arial" w:cs="Arial"/>
        </w:rPr>
        <w:t>Local authorities are required to publish an annual pay policy statement to increase transparency regarding the use of public funds to pay council staff. This requirement was set out in the Localism Act 2011 with guidance on items to be included issued by the Secretary of State for Communities and Local Government. </w:t>
      </w:r>
      <w:r w:rsidR="00534EAC">
        <w:rPr>
          <w:rStyle w:val="eop"/>
          <w:rFonts w:ascii="Arial" w:hAnsi="Arial" w:cs="Arial"/>
        </w:rPr>
        <w:t> </w:t>
      </w:r>
    </w:p>
    <w:p w14:paraId="21272619" w14:textId="48664839" w:rsidR="00534EAC" w:rsidRDefault="00534EAC" w:rsidP="00340284">
      <w:pPr>
        <w:pStyle w:val="Subnumber"/>
        <w:numPr>
          <w:ilvl w:val="1"/>
          <w:numId w:val="30"/>
        </w:numPr>
        <w:spacing w:after="0"/>
        <w:textAlignment w:val="baseline"/>
        <w:rPr>
          <w:rStyle w:val="eop"/>
        </w:rPr>
      </w:pPr>
      <w:r w:rsidRPr="00B90EAA">
        <w:rPr>
          <w:rStyle w:val="normaltextrun"/>
        </w:rPr>
        <w:lastRenderedPageBreak/>
        <w:t>Pay Policy Statements must be agreed by full Council and be published by 31 March each year to apply to pay decisions during the next financial year.</w:t>
      </w:r>
    </w:p>
    <w:p w14:paraId="3D2FFA93" w14:textId="77777777" w:rsidR="00B93856" w:rsidRPr="00B90EAA" w:rsidRDefault="00B93856" w:rsidP="00B93856">
      <w:pPr>
        <w:pStyle w:val="Subnumber"/>
        <w:numPr>
          <w:ilvl w:val="0"/>
          <w:numId w:val="0"/>
        </w:numPr>
        <w:spacing w:after="0"/>
        <w:ind w:left="737"/>
        <w:textAlignment w:val="baseline"/>
      </w:pPr>
    </w:p>
    <w:p w14:paraId="75ED5B87" w14:textId="29DD5E6A" w:rsidR="00534EAC" w:rsidRDefault="00534EAC" w:rsidP="00B90EAA">
      <w:pPr>
        <w:pStyle w:val="Subnumber"/>
        <w:spacing w:after="0"/>
        <w:textAlignment w:val="baseline"/>
        <w:rPr>
          <w:rStyle w:val="eop"/>
        </w:rPr>
      </w:pPr>
      <w:r w:rsidRPr="00B90EAA">
        <w:rPr>
          <w:rStyle w:val="normaltextrun"/>
        </w:rPr>
        <w:t>The Pay Policy Statement must set out the Council’s policies on a range of issues relating to the pay of its workforce, particularly its senior staff and the lowest paid employees. The statement must set out the policies for the financial year relating to:</w:t>
      </w:r>
      <w:r w:rsidRPr="00B90EAA">
        <w:rPr>
          <w:rStyle w:val="eop"/>
        </w:rPr>
        <w:t> </w:t>
      </w:r>
    </w:p>
    <w:p w14:paraId="49CB114D" w14:textId="77777777" w:rsidR="00D91870" w:rsidRPr="00B90EAA" w:rsidRDefault="00D91870" w:rsidP="00D91870">
      <w:pPr>
        <w:pStyle w:val="Subnumber"/>
        <w:numPr>
          <w:ilvl w:val="0"/>
          <w:numId w:val="0"/>
        </w:numPr>
        <w:spacing w:after="0"/>
        <w:ind w:left="737"/>
        <w:textAlignment w:val="baseline"/>
      </w:pPr>
    </w:p>
    <w:p w14:paraId="33DC234D" w14:textId="1B154758" w:rsidR="00340284" w:rsidRPr="00340284" w:rsidRDefault="00534EAC" w:rsidP="00D91870">
      <w:pPr>
        <w:pStyle w:val="paragraph"/>
        <w:numPr>
          <w:ilvl w:val="0"/>
          <w:numId w:val="33"/>
        </w:numPr>
        <w:spacing w:before="0" w:beforeAutospacing="0" w:after="0" w:afterAutospacing="0"/>
        <w:textAlignment w:val="baseline"/>
        <w:rPr>
          <w:rStyle w:val="normaltextrun"/>
          <w:rFonts w:ascii="Arial" w:hAnsi="Arial" w:cs="Arial"/>
          <w:b/>
          <w:bCs/>
        </w:rPr>
      </w:pPr>
      <w:r>
        <w:rPr>
          <w:rStyle w:val="normaltextrun"/>
          <w:rFonts w:ascii="Arial" w:hAnsi="Arial" w:cs="Arial"/>
        </w:rPr>
        <w:t>Remuneration of its Chief Officers</w:t>
      </w:r>
    </w:p>
    <w:p w14:paraId="2E780E68" w14:textId="77777777" w:rsidR="00B93856" w:rsidRDefault="00534EAC" w:rsidP="006E0C80">
      <w:pPr>
        <w:pStyle w:val="Subnumber"/>
        <w:numPr>
          <w:ilvl w:val="0"/>
          <w:numId w:val="33"/>
        </w:numPr>
        <w:rPr>
          <w:rStyle w:val="eop"/>
          <w:b/>
          <w:bCs/>
        </w:rPr>
      </w:pPr>
      <w:bookmarkStart w:id="1" w:name="_Hlk218764097"/>
      <w:r w:rsidRPr="00340284">
        <w:rPr>
          <w:rStyle w:val="normaltextrun"/>
        </w:rPr>
        <w:t>Remuneration of its lowest paid employees</w:t>
      </w:r>
      <w:r w:rsidRPr="00340284">
        <w:rPr>
          <w:rStyle w:val="eop"/>
          <w:b/>
          <w:bCs/>
        </w:rPr>
        <w:t> </w:t>
      </w:r>
      <w:bookmarkEnd w:id="1"/>
    </w:p>
    <w:p w14:paraId="12C6031D" w14:textId="77777777" w:rsidR="000834B6" w:rsidRDefault="00534EAC" w:rsidP="006A5E84">
      <w:pPr>
        <w:pStyle w:val="Subnumber"/>
        <w:numPr>
          <w:ilvl w:val="0"/>
          <w:numId w:val="33"/>
        </w:numPr>
        <w:rPr>
          <w:rStyle w:val="eop"/>
          <w:b/>
          <w:bCs/>
        </w:rPr>
      </w:pPr>
      <w:r w:rsidRPr="006E0C80">
        <w:rPr>
          <w:rStyle w:val="normaltextrun"/>
        </w:rPr>
        <w:t>The relationship between the remuneration of its Chief Officers and the remuneration of those employees who are not Chief Officers</w:t>
      </w:r>
      <w:r w:rsidRPr="006E0C80">
        <w:rPr>
          <w:rStyle w:val="eop"/>
          <w:b/>
          <w:bCs/>
        </w:rPr>
        <w:t> </w:t>
      </w:r>
    </w:p>
    <w:p w14:paraId="4C1B3D10" w14:textId="6F650D8E" w:rsidR="00534EAC" w:rsidRPr="006A5E84" w:rsidRDefault="00534EAC" w:rsidP="006A5E84">
      <w:pPr>
        <w:pStyle w:val="Subnumber"/>
        <w:numPr>
          <w:ilvl w:val="0"/>
          <w:numId w:val="33"/>
        </w:numPr>
        <w:rPr>
          <w:b/>
          <w:bCs/>
        </w:rPr>
      </w:pPr>
      <w:r w:rsidRPr="006A5E84">
        <w:rPr>
          <w:rStyle w:val="normaltextrun"/>
        </w:rPr>
        <w:t>The publication of and access to information relating to remuneration of Chief Officers.</w:t>
      </w:r>
      <w:r w:rsidRPr="006A5E84">
        <w:rPr>
          <w:rStyle w:val="eop"/>
          <w:b/>
          <w:bCs/>
        </w:rPr>
        <w:t> </w:t>
      </w:r>
    </w:p>
    <w:p w14:paraId="51F1214C" w14:textId="77777777" w:rsidR="006E27E9" w:rsidRDefault="00534EAC" w:rsidP="00150D15">
      <w:pPr>
        <w:pStyle w:val="Subnumber"/>
        <w:spacing w:after="0"/>
        <w:textAlignment w:val="baseline"/>
        <w:rPr>
          <w:rStyle w:val="normaltextrun"/>
        </w:rPr>
      </w:pPr>
      <w:r w:rsidRPr="00150D15">
        <w:rPr>
          <w:rStyle w:val="normaltextrun"/>
        </w:rPr>
        <w:t>The term ‘Chief Officer’ in this context is as set out in the Local Government and Housing Act 1989 (‘the Act’) and includes </w:t>
      </w:r>
    </w:p>
    <w:p w14:paraId="5A57D407" w14:textId="77777777" w:rsidR="00BC3F90" w:rsidRDefault="00BC3F90" w:rsidP="00BC3F90">
      <w:pPr>
        <w:pStyle w:val="Subnumber"/>
        <w:numPr>
          <w:ilvl w:val="0"/>
          <w:numId w:val="0"/>
        </w:numPr>
        <w:spacing w:after="0"/>
        <w:ind w:left="737"/>
        <w:textAlignment w:val="baseline"/>
        <w:rPr>
          <w:rStyle w:val="normaltextrun"/>
        </w:rPr>
      </w:pPr>
    </w:p>
    <w:p w14:paraId="152D6C8E" w14:textId="7F0CEFC7" w:rsidR="00534EAC" w:rsidRPr="00BC3F90" w:rsidRDefault="00534EAC" w:rsidP="00BC3F90">
      <w:pPr>
        <w:pStyle w:val="Subnumber"/>
        <w:numPr>
          <w:ilvl w:val="0"/>
          <w:numId w:val="34"/>
        </w:numPr>
        <w:spacing w:after="0"/>
        <w:textAlignment w:val="baseline"/>
      </w:pPr>
      <w:r>
        <w:rPr>
          <w:rStyle w:val="normaltextrun"/>
        </w:rPr>
        <w:t>The Head of Paid Service (the Chief Executive)</w:t>
      </w:r>
      <w:r>
        <w:rPr>
          <w:rStyle w:val="eop"/>
          <w:b/>
          <w:bCs/>
        </w:rPr>
        <w:t> </w:t>
      </w:r>
    </w:p>
    <w:p w14:paraId="0AAA4C45" w14:textId="77777777" w:rsidR="00534EAC" w:rsidRDefault="00534EAC" w:rsidP="00534EAC">
      <w:pPr>
        <w:pStyle w:val="paragraph"/>
        <w:numPr>
          <w:ilvl w:val="0"/>
          <w:numId w:val="13"/>
        </w:numPr>
        <w:spacing w:before="0" w:beforeAutospacing="0" w:after="0" w:afterAutospacing="0"/>
        <w:ind w:left="1800" w:firstLine="0"/>
        <w:textAlignment w:val="baseline"/>
        <w:rPr>
          <w:rFonts w:ascii="Arial" w:hAnsi="Arial" w:cs="Arial"/>
          <w:b/>
          <w:bCs/>
        </w:rPr>
      </w:pPr>
      <w:r>
        <w:rPr>
          <w:rStyle w:val="normaltextrun"/>
          <w:rFonts w:ascii="Arial" w:hAnsi="Arial" w:cs="Arial"/>
        </w:rPr>
        <w:t>The Monitoring Officer</w:t>
      </w:r>
      <w:r>
        <w:rPr>
          <w:rStyle w:val="eop"/>
          <w:rFonts w:ascii="Arial" w:hAnsi="Arial" w:cs="Arial"/>
          <w:b/>
          <w:bCs/>
        </w:rPr>
        <w:t> </w:t>
      </w:r>
    </w:p>
    <w:p w14:paraId="423CADE3" w14:textId="0DDD04E8" w:rsidR="00534EAC" w:rsidRDefault="00534EAC" w:rsidP="00534EAC">
      <w:pPr>
        <w:pStyle w:val="paragraph"/>
        <w:numPr>
          <w:ilvl w:val="0"/>
          <w:numId w:val="14"/>
        </w:numPr>
        <w:spacing w:before="0" w:beforeAutospacing="0" w:after="0" w:afterAutospacing="0"/>
        <w:ind w:left="1800" w:firstLine="0"/>
        <w:textAlignment w:val="baseline"/>
        <w:rPr>
          <w:rFonts w:ascii="Arial" w:hAnsi="Arial" w:cs="Arial"/>
          <w:b/>
          <w:bCs/>
        </w:rPr>
      </w:pPr>
      <w:r>
        <w:rPr>
          <w:rStyle w:val="normaltextrun"/>
          <w:rFonts w:ascii="Arial" w:hAnsi="Arial" w:cs="Arial"/>
        </w:rPr>
        <w:t xml:space="preserve">Statutory and non-statutory Chief Officers under section 2 of the </w:t>
      </w:r>
      <w:r w:rsidR="00BC3F90">
        <w:rPr>
          <w:rStyle w:val="normaltextrun"/>
          <w:rFonts w:ascii="Arial" w:hAnsi="Arial" w:cs="Arial"/>
        </w:rPr>
        <w:tab/>
      </w:r>
      <w:r>
        <w:rPr>
          <w:rStyle w:val="normaltextrun"/>
          <w:rFonts w:ascii="Arial" w:hAnsi="Arial" w:cs="Arial"/>
        </w:rPr>
        <w:t>Act</w:t>
      </w:r>
      <w:r>
        <w:rPr>
          <w:rStyle w:val="eop"/>
          <w:rFonts w:ascii="Arial" w:hAnsi="Arial" w:cs="Arial"/>
          <w:b/>
          <w:bCs/>
        </w:rPr>
        <w:t> </w:t>
      </w:r>
    </w:p>
    <w:p w14:paraId="116EA493" w14:textId="77777777" w:rsidR="00BC3F90" w:rsidRPr="00BC3F90" w:rsidRDefault="00534EAC" w:rsidP="00534EAC">
      <w:pPr>
        <w:pStyle w:val="paragraph"/>
        <w:numPr>
          <w:ilvl w:val="0"/>
          <w:numId w:val="15"/>
        </w:numPr>
        <w:spacing w:before="0" w:beforeAutospacing="0" w:after="0" w:afterAutospacing="0"/>
        <w:ind w:left="1800" w:firstLine="0"/>
        <w:textAlignment w:val="baseline"/>
        <w:rPr>
          <w:rStyle w:val="normaltextrun"/>
          <w:rFonts w:ascii="Arial" w:hAnsi="Arial" w:cs="Arial"/>
          <w:b/>
          <w:bCs/>
        </w:rPr>
      </w:pPr>
      <w:r>
        <w:rPr>
          <w:rStyle w:val="normaltextrun"/>
          <w:rFonts w:ascii="Arial" w:hAnsi="Arial" w:cs="Arial"/>
        </w:rPr>
        <w:t>A deputy Chief Officer mentioned in section 2 of the Act </w:t>
      </w:r>
    </w:p>
    <w:p w14:paraId="2CE7A77F" w14:textId="7311EAEE" w:rsidR="00534EAC" w:rsidRDefault="00534EAC" w:rsidP="00BC3F90">
      <w:pPr>
        <w:pStyle w:val="paragraph"/>
        <w:spacing w:before="0" w:beforeAutospacing="0" w:after="0" w:afterAutospacing="0"/>
        <w:ind w:left="1800"/>
        <w:textAlignment w:val="baseline"/>
        <w:rPr>
          <w:rFonts w:ascii="Arial" w:hAnsi="Arial" w:cs="Arial"/>
          <w:b/>
          <w:bCs/>
        </w:rPr>
      </w:pPr>
      <w:r>
        <w:rPr>
          <w:rStyle w:val="eop"/>
          <w:rFonts w:ascii="Arial" w:hAnsi="Arial" w:cs="Arial"/>
          <w:b/>
          <w:bCs/>
        </w:rPr>
        <w:t> </w:t>
      </w:r>
    </w:p>
    <w:p w14:paraId="34F33DC8" w14:textId="3A0ADD00" w:rsidR="00FA3E29" w:rsidRDefault="00534EAC" w:rsidP="004B0FD0">
      <w:pPr>
        <w:pStyle w:val="paragraph"/>
        <w:spacing w:before="0" w:beforeAutospacing="0" w:after="0" w:afterAutospacing="0"/>
        <w:ind w:left="705"/>
        <w:textAlignment w:val="baseline"/>
        <w:rPr>
          <w:rStyle w:val="normaltextrun"/>
          <w:rFonts w:ascii="Arial" w:hAnsi="Arial" w:cs="Arial"/>
        </w:rPr>
      </w:pPr>
      <w:r>
        <w:rPr>
          <w:rStyle w:val="normaltextrun"/>
          <w:rFonts w:ascii="Arial" w:hAnsi="Arial" w:cs="Arial"/>
        </w:rPr>
        <w:t>This is a wider definition than is usually understood by the term: in other contexts, the term Chief Officer at Spelthorne is used to mean posts on Management Team (Chief Executive and Deputy Chief Executives only). </w:t>
      </w:r>
    </w:p>
    <w:p w14:paraId="520080CD" w14:textId="77777777" w:rsidR="00FA3E29" w:rsidRDefault="00FA3E29" w:rsidP="004B0FD0">
      <w:pPr>
        <w:pStyle w:val="paragraph"/>
        <w:spacing w:before="0" w:beforeAutospacing="0" w:after="0" w:afterAutospacing="0"/>
        <w:ind w:left="705"/>
        <w:textAlignment w:val="baseline"/>
        <w:rPr>
          <w:rStyle w:val="normaltextrun"/>
          <w:rFonts w:ascii="Arial" w:hAnsi="Arial" w:cs="Arial"/>
        </w:rPr>
      </w:pPr>
    </w:p>
    <w:p w14:paraId="20C8BF0B" w14:textId="77777777" w:rsidR="009B4050" w:rsidRDefault="009B4050" w:rsidP="004B0FD0">
      <w:pPr>
        <w:pStyle w:val="paragraph"/>
        <w:spacing w:before="0" w:beforeAutospacing="0" w:after="0" w:afterAutospacing="0"/>
        <w:ind w:left="705"/>
        <w:textAlignment w:val="baseline"/>
        <w:rPr>
          <w:rStyle w:val="normaltextrun"/>
          <w:rFonts w:ascii="Arial" w:hAnsi="Arial" w:cs="Arial"/>
        </w:rPr>
      </w:pPr>
    </w:p>
    <w:p w14:paraId="0F40C830" w14:textId="722A291A" w:rsidR="00534EAC" w:rsidRDefault="00534EAC" w:rsidP="009B4050">
      <w:pPr>
        <w:pStyle w:val="Subnumber"/>
        <w:rPr>
          <w:rStyle w:val="eop"/>
        </w:rPr>
      </w:pPr>
      <w:r>
        <w:rPr>
          <w:rStyle w:val="normaltextrun"/>
        </w:rPr>
        <w:t>It is up to the Council to determine who its lowest paid employees are, but they must give reasons as to why they have defined them as such. At Spelthorne the lowest paid employees are those in jobs paid at the lowest grade and apprentices.</w:t>
      </w:r>
      <w:r>
        <w:rPr>
          <w:rStyle w:val="eop"/>
        </w:rPr>
        <w:t> </w:t>
      </w:r>
    </w:p>
    <w:p w14:paraId="434CA557" w14:textId="77777777" w:rsidR="00534EAC" w:rsidRPr="009B4050" w:rsidRDefault="00534EAC" w:rsidP="009B4050">
      <w:pPr>
        <w:pStyle w:val="Subnumber"/>
      </w:pPr>
      <w:r w:rsidRPr="009B4050">
        <w:rPr>
          <w:rStyle w:val="normaltextrun"/>
        </w:rPr>
        <w:t>The term ‘remuneration’ is defined as follows:</w:t>
      </w:r>
      <w:r w:rsidRPr="009B4050">
        <w:rPr>
          <w:rStyle w:val="eop"/>
        </w:rPr>
        <w:t> </w:t>
      </w:r>
    </w:p>
    <w:p w14:paraId="6E6FD484" w14:textId="77777777" w:rsidR="00534EAC" w:rsidRDefault="00534EAC" w:rsidP="00534EAC">
      <w:pPr>
        <w:pStyle w:val="paragraph"/>
        <w:numPr>
          <w:ilvl w:val="0"/>
          <w:numId w:val="18"/>
        </w:numPr>
        <w:spacing w:before="0" w:beforeAutospacing="0" w:after="0" w:afterAutospacing="0"/>
        <w:ind w:left="1800" w:firstLine="0"/>
        <w:textAlignment w:val="baseline"/>
        <w:rPr>
          <w:rFonts w:ascii="Arial" w:hAnsi="Arial" w:cs="Arial"/>
          <w:b/>
          <w:bCs/>
        </w:rPr>
      </w:pPr>
      <w:r>
        <w:rPr>
          <w:rStyle w:val="normaltextrun"/>
          <w:rFonts w:ascii="Arial" w:hAnsi="Arial" w:cs="Arial"/>
        </w:rPr>
        <w:t>The Chief Officer’s salary</w:t>
      </w:r>
      <w:r>
        <w:rPr>
          <w:rStyle w:val="eop"/>
          <w:rFonts w:ascii="Arial" w:hAnsi="Arial" w:cs="Arial"/>
          <w:b/>
          <w:bCs/>
        </w:rPr>
        <w:t> </w:t>
      </w:r>
    </w:p>
    <w:p w14:paraId="5338CAF5" w14:textId="77777777" w:rsidR="00534EAC" w:rsidRDefault="00534EAC" w:rsidP="00534EAC">
      <w:pPr>
        <w:pStyle w:val="paragraph"/>
        <w:numPr>
          <w:ilvl w:val="0"/>
          <w:numId w:val="19"/>
        </w:numPr>
        <w:spacing w:before="0" w:beforeAutospacing="0" w:after="0" w:afterAutospacing="0"/>
        <w:ind w:left="1800" w:firstLine="0"/>
        <w:textAlignment w:val="baseline"/>
        <w:rPr>
          <w:rFonts w:ascii="Arial" w:hAnsi="Arial" w:cs="Arial"/>
          <w:b/>
          <w:bCs/>
        </w:rPr>
      </w:pPr>
      <w:r>
        <w:rPr>
          <w:rStyle w:val="normaltextrun"/>
          <w:rFonts w:ascii="Arial" w:hAnsi="Arial" w:cs="Arial"/>
        </w:rPr>
        <w:t>Any bonuses payable </w:t>
      </w:r>
      <w:r>
        <w:rPr>
          <w:rStyle w:val="eop"/>
          <w:rFonts w:ascii="Arial" w:hAnsi="Arial" w:cs="Arial"/>
          <w:b/>
          <w:bCs/>
        </w:rPr>
        <w:t> </w:t>
      </w:r>
    </w:p>
    <w:p w14:paraId="44CEEE59" w14:textId="4C60D903" w:rsidR="00534EAC" w:rsidRDefault="00534EAC" w:rsidP="00534EAC">
      <w:pPr>
        <w:pStyle w:val="paragraph"/>
        <w:numPr>
          <w:ilvl w:val="0"/>
          <w:numId w:val="20"/>
        </w:numPr>
        <w:spacing w:before="0" w:beforeAutospacing="0" w:after="0" w:afterAutospacing="0"/>
        <w:ind w:left="1800" w:firstLine="0"/>
        <w:textAlignment w:val="baseline"/>
        <w:rPr>
          <w:rFonts w:ascii="Arial" w:hAnsi="Arial" w:cs="Arial"/>
          <w:b/>
          <w:bCs/>
        </w:rPr>
      </w:pPr>
      <w:r>
        <w:rPr>
          <w:rStyle w:val="normaltextrun"/>
          <w:rFonts w:ascii="Arial" w:hAnsi="Arial" w:cs="Arial"/>
        </w:rPr>
        <w:t xml:space="preserve">Any charges, fees or allowances payable by the Council to the </w:t>
      </w:r>
      <w:r w:rsidR="009C6141">
        <w:rPr>
          <w:rStyle w:val="normaltextrun"/>
          <w:rFonts w:ascii="Arial" w:hAnsi="Arial" w:cs="Arial"/>
        </w:rPr>
        <w:tab/>
      </w:r>
      <w:r>
        <w:rPr>
          <w:rStyle w:val="normaltextrun"/>
          <w:rFonts w:ascii="Arial" w:hAnsi="Arial" w:cs="Arial"/>
        </w:rPr>
        <w:t>Chief Officer</w:t>
      </w:r>
      <w:r>
        <w:rPr>
          <w:rStyle w:val="eop"/>
          <w:rFonts w:ascii="Arial" w:hAnsi="Arial" w:cs="Arial"/>
          <w:b/>
          <w:bCs/>
        </w:rPr>
        <w:t> </w:t>
      </w:r>
    </w:p>
    <w:p w14:paraId="519AA1E6" w14:textId="3A721C03" w:rsidR="00534EAC" w:rsidRDefault="00534EAC" w:rsidP="00534EAC">
      <w:pPr>
        <w:pStyle w:val="paragraph"/>
        <w:numPr>
          <w:ilvl w:val="0"/>
          <w:numId w:val="21"/>
        </w:numPr>
        <w:spacing w:before="0" w:beforeAutospacing="0" w:after="0" w:afterAutospacing="0"/>
        <w:ind w:left="1800" w:firstLine="0"/>
        <w:textAlignment w:val="baseline"/>
        <w:rPr>
          <w:rFonts w:ascii="Arial" w:hAnsi="Arial" w:cs="Arial"/>
          <w:b/>
          <w:bCs/>
        </w:rPr>
      </w:pPr>
      <w:r>
        <w:rPr>
          <w:rStyle w:val="normaltextrun"/>
          <w:rFonts w:ascii="Arial" w:hAnsi="Arial" w:cs="Arial"/>
        </w:rPr>
        <w:t xml:space="preserve">Any benefits in kind to which the Chief Officer is entitled as a </w:t>
      </w:r>
      <w:r w:rsidR="009C6141">
        <w:rPr>
          <w:rStyle w:val="normaltextrun"/>
          <w:rFonts w:ascii="Arial" w:hAnsi="Arial" w:cs="Arial"/>
        </w:rPr>
        <w:tab/>
      </w:r>
      <w:r>
        <w:rPr>
          <w:rStyle w:val="normaltextrun"/>
          <w:rFonts w:ascii="Arial" w:hAnsi="Arial" w:cs="Arial"/>
        </w:rPr>
        <w:t>result of their office or employment</w:t>
      </w:r>
      <w:r>
        <w:rPr>
          <w:rStyle w:val="eop"/>
          <w:rFonts w:ascii="Arial" w:hAnsi="Arial" w:cs="Arial"/>
          <w:b/>
          <w:bCs/>
        </w:rPr>
        <w:t> </w:t>
      </w:r>
    </w:p>
    <w:p w14:paraId="3441DF07" w14:textId="6B553960" w:rsidR="00534EAC" w:rsidRDefault="00534EAC" w:rsidP="00534EAC">
      <w:pPr>
        <w:pStyle w:val="paragraph"/>
        <w:numPr>
          <w:ilvl w:val="0"/>
          <w:numId w:val="22"/>
        </w:numPr>
        <w:spacing w:before="0" w:beforeAutospacing="0" w:after="0" w:afterAutospacing="0"/>
        <w:ind w:left="1800" w:firstLine="0"/>
        <w:textAlignment w:val="baseline"/>
        <w:rPr>
          <w:rFonts w:ascii="Arial" w:hAnsi="Arial" w:cs="Arial"/>
          <w:b/>
          <w:bCs/>
        </w:rPr>
      </w:pPr>
      <w:r>
        <w:rPr>
          <w:rStyle w:val="normaltextrun"/>
          <w:rFonts w:ascii="Arial" w:hAnsi="Arial" w:cs="Arial"/>
        </w:rPr>
        <w:t xml:space="preserve">Any increase in or enhancement of the Chief Officer’s pension </w:t>
      </w:r>
      <w:r w:rsidR="009C6141">
        <w:rPr>
          <w:rStyle w:val="normaltextrun"/>
          <w:rFonts w:ascii="Arial" w:hAnsi="Arial" w:cs="Arial"/>
        </w:rPr>
        <w:tab/>
      </w:r>
      <w:r>
        <w:rPr>
          <w:rStyle w:val="normaltextrun"/>
          <w:rFonts w:ascii="Arial" w:hAnsi="Arial" w:cs="Arial"/>
        </w:rPr>
        <w:t xml:space="preserve">entitlement where the increase or enhancement is as a result </w:t>
      </w:r>
      <w:r w:rsidR="009C6141">
        <w:rPr>
          <w:rStyle w:val="normaltextrun"/>
          <w:rFonts w:ascii="Arial" w:hAnsi="Arial" w:cs="Arial"/>
        </w:rPr>
        <w:tab/>
      </w:r>
      <w:r>
        <w:rPr>
          <w:rStyle w:val="normaltextrun"/>
          <w:rFonts w:ascii="Arial" w:hAnsi="Arial" w:cs="Arial"/>
        </w:rPr>
        <w:t>of the resolution of the Council</w:t>
      </w:r>
      <w:r>
        <w:rPr>
          <w:rStyle w:val="eop"/>
          <w:rFonts w:ascii="Arial" w:hAnsi="Arial" w:cs="Arial"/>
          <w:b/>
          <w:bCs/>
        </w:rPr>
        <w:t> </w:t>
      </w:r>
    </w:p>
    <w:p w14:paraId="5E15EDA7" w14:textId="7028609A" w:rsidR="00534EAC" w:rsidRDefault="00534EAC" w:rsidP="00534EAC">
      <w:pPr>
        <w:pStyle w:val="paragraph"/>
        <w:numPr>
          <w:ilvl w:val="0"/>
          <w:numId w:val="23"/>
        </w:numPr>
        <w:spacing w:before="0" w:beforeAutospacing="0" w:after="0" w:afterAutospacing="0"/>
        <w:ind w:left="1800" w:firstLine="0"/>
        <w:textAlignment w:val="baseline"/>
        <w:rPr>
          <w:rStyle w:val="eop"/>
          <w:rFonts w:ascii="Arial" w:hAnsi="Arial" w:cs="Arial"/>
          <w:b/>
          <w:bCs/>
        </w:rPr>
      </w:pPr>
      <w:r>
        <w:rPr>
          <w:rStyle w:val="normaltextrun"/>
          <w:rFonts w:ascii="Arial" w:hAnsi="Arial" w:cs="Arial"/>
        </w:rPr>
        <w:t xml:space="preserve">Any amounts payable by the Council to the Chief Officer on the </w:t>
      </w:r>
      <w:r w:rsidR="009C6141">
        <w:rPr>
          <w:rStyle w:val="normaltextrun"/>
          <w:rFonts w:ascii="Arial" w:hAnsi="Arial" w:cs="Arial"/>
        </w:rPr>
        <w:tab/>
      </w:r>
      <w:r>
        <w:rPr>
          <w:rStyle w:val="normaltextrun"/>
          <w:rFonts w:ascii="Arial" w:hAnsi="Arial" w:cs="Arial"/>
        </w:rPr>
        <w:t xml:space="preserve">Chief Officer ceasing to hold office under or be employed by the </w:t>
      </w:r>
      <w:r w:rsidR="009C6141">
        <w:rPr>
          <w:rStyle w:val="normaltextrun"/>
          <w:rFonts w:ascii="Arial" w:hAnsi="Arial" w:cs="Arial"/>
        </w:rPr>
        <w:tab/>
      </w:r>
      <w:r>
        <w:rPr>
          <w:rStyle w:val="normaltextrun"/>
          <w:rFonts w:ascii="Arial" w:hAnsi="Arial" w:cs="Arial"/>
        </w:rPr>
        <w:t xml:space="preserve">Council other than amounts that may be payable by virtue of any </w:t>
      </w:r>
      <w:r w:rsidR="009C6141">
        <w:rPr>
          <w:rStyle w:val="normaltextrun"/>
          <w:rFonts w:ascii="Arial" w:hAnsi="Arial" w:cs="Arial"/>
        </w:rPr>
        <w:tab/>
      </w:r>
      <w:r>
        <w:rPr>
          <w:rStyle w:val="normaltextrun"/>
          <w:rFonts w:ascii="Arial" w:hAnsi="Arial" w:cs="Arial"/>
        </w:rPr>
        <w:t>enactment.</w:t>
      </w:r>
      <w:r>
        <w:rPr>
          <w:rStyle w:val="eop"/>
          <w:rFonts w:ascii="Arial" w:hAnsi="Arial" w:cs="Arial"/>
          <w:b/>
          <w:bCs/>
        </w:rPr>
        <w:t> </w:t>
      </w:r>
    </w:p>
    <w:p w14:paraId="61CDD38F" w14:textId="77777777" w:rsidR="00AE1EEA" w:rsidRDefault="00AE1EEA" w:rsidP="00AE1EEA">
      <w:pPr>
        <w:pStyle w:val="paragraph"/>
        <w:spacing w:before="0" w:beforeAutospacing="0" w:after="0" w:afterAutospacing="0"/>
        <w:ind w:left="1800"/>
        <w:textAlignment w:val="baseline"/>
        <w:rPr>
          <w:rFonts w:ascii="Arial" w:hAnsi="Arial" w:cs="Arial"/>
          <w:b/>
          <w:bCs/>
        </w:rPr>
      </w:pPr>
    </w:p>
    <w:p w14:paraId="2B52C5FA" w14:textId="77777777" w:rsidR="00B86C18" w:rsidRDefault="00534EAC" w:rsidP="00AE1EEA">
      <w:pPr>
        <w:pStyle w:val="Subnumber"/>
        <w:rPr>
          <w:rStyle w:val="normaltextrun"/>
        </w:rPr>
      </w:pPr>
      <w:r>
        <w:rPr>
          <w:rStyle w:val="normaltextrun"/>
        </w:rPr>
        <w:lastRenderedPageBreak/>
        <w:t>The statement must be approved by a resolution of Council before it comes into force. It can be amended by resolution after the financial year is underway but, if it is amended, it must be published on the Council’s website.</w:t>
      </w:r>
    </w:p>
    <w:p w14:paraId="7448EFFD" w14:textId="77777777" w:rsidR="00B86C18" w:rsidRDefault="00B86C18" w:rsidP="00780C21">
      <w:pPr>
        <w:pStyle w:val="Subnumber"/>
        <w:numPr>
          <w:ilvl w:val="0"/>
          <w:numId w:val="0"/>
        </w:numPr>
        <w:ind w:left="737"/>
        <w:rPr>
          <w:rStyle w:val="normaltextrun"/>
        </w:rPr>
      </w:pPr>
    </w:p>
    <w:p w14:paraId="7A21B895" w14:textId="77777777" w:rsidR="00534EAC" w:rsidRDefault="00534EAC" w:rsidP="00B86C18">
      <w:pPr>
        <w:pStyle w:val="Subnumber"/>
        <w:rPr>
          <w:rStyle w:val="eop"/>
        </w:rPr>
      </w:pPr>
      <w:r w:rsidRPr="00B86C18">
        <w:rPr>
          <w:rStyle w:val="normaltextrun"/>
        </w:rPr>
        <w:t>There has been no further guidance from the Secretary of State this financial year.</w:t>
      </w:r>
      <w:r w:rsidRPr="00B86C18">
        <w:rPr>
          <w:rStyle w:val="eop"/>
        </w:rPr>
        <w:t> </w:t>
      </w:r>
    </w:p>
    <w:p w14:paraId="755E2CA4" w14:textId="77777777" w:rsidR="00A6059F" w:rsidRDefault="00A6059F" w:rsidP="00A6059F">
      <w:pPr>
        <w:pStyle w:val="ListParagraph"/>
        <w:rPr>
          <w:rStyle w:val="eop"/>
        </w:rPr>
      </w:pPr>
    </w:p>
    <w:p w14:paraId="7AB33612" w14:textId="77777777" w:rsidR="00534EAC" w:rsidRDefault="00534EAC" w:rsidP="00A6059F">
      <w:pPr>
        <w:pStyle w:val="Subnumber"/>
        <w:rPr>
          <w:rStyle w:val="eop"/>
        </w:rPr>
      </w:pPr>
      <w:r w:rsidRPr="00A6059F">
        <w:rPr>
          <w:rStyle w:val="normaltextrun"/>
        </w:rPr>
        <w:t>This explains the main criteria upon which the decision is to be based.</w:t>
      </w:r>
      <w:r w:rsidRPr="00A6059F">
        <w:rPr>
          <w:rStyle w:val="eop"/>
        </w:rPr>
        <w:t> </w:t>
      </w:r>
    </w:p>
    <w:p w14:paraId="4EDFD0B3" w14:textId="77777777" w:rsidR="00A6059F" w:rsidRDefault="00A6059F" w:rsidP="00A6059F">
      <w:pPr>
        <w:pStyle w:val="ListParagraph"/>
      </w:pPr>
    </w:p>
    <w:p w14:paraId="482E39D0" w14:textId="77777777" w:rsidR="00534EAC" w:rsidRDefault="00534EAC" w:rsidP="00A6059F">
      <w:pPr>
        <w:pStyle w:val="Subnumber"/>
        <w:rPr>
          <w:rStyle w:val="eop"/>
        </w:rPr>
      </w:pPr>
      <w:r w:rsidRPr="00A6059F">
        <w:rPr>
          <w:rStyle w:val="normaltextrun"/>
        </w:rPr>
        <w:t>Employing authorities are also required to publish a policy on how they propose to exercise certain discretions under the Local Government Pension Scheme, Local Government Compensation Regulations and the Local Government Injury Regulations.  As a minimum, an employing authority is required to publish a policy on the mandatory discretions within these regulations. </w:t>
      </w:r>
      <w:r w:rsidRPr="00A6059F">
        <w:rPr>
          <w:rStyle w:val="eop"/>
        </w:rPr>
        <w:t> </w:t>
      </w:r>
    </w:p>
    <w:p w14:paraId="0B6D4285" w14:textId="77777777" w:rsidR="00A6059F" w:rsidRDefault="00A6059F" w:rsidP="00A6059F">
      <w:pPr>
        <w:pStyle w:val="ListParagraph"/>
      </w:pPr>
    </w:p>
    <w:p w14:paraId="306CC258" w14:textId="77777777" w:rsidR="00534EAC" w:rsidRPr="00A6059F" w:rsidRDefault="00534EAC" w:rsidP="00A6059F">
      <w:pPr>
        <w:pStyle w:val="Subnumber"/>
      </w:pPr>
      <w:r w:rsidRPr="00A6059F">
        <w:rPr>
          <w:rStyle w:val="normaltextrun"/>
          <w:color w:val="000000"/>
        </w:rPr>
        <w:t>The Discretions Policy is an Appendix of the Pay Policy Statement and is attached as </w:t>
      </w:r>
      <w:r w:rsidRPr="00A6059F">
        <w:rPr>
          <w:rStyle w:val="normaltextrun"/>
          <w:b/>
          <w:bCs/>
          <w:color w:val="000000"/>
        </w:rPr>
        <w:t>Appendix 2.  </w:t>
      </w:r>
      <w:r w:rsidRPr="00A6059F">
        <w:rPr>
          <w:rStyle w:val="normaltextrun"/>
          <w:color w:val="000000"/>
        </w:rPr>
        <w:t>The Policy includes the mandatory discretions for Award of Additional Pension and Inward Transfer of Pension Rights which are useful to be included.  </w:t>
      </w:r>
      <w:r w:rsidRPr="00A6059F">
        <w:rPr>
          <w:rStyle w:val="eop"/>
          <w:color w:val="000000"/>
        </w:rPr>
        <w:t> </w:t>
      </w:r>
    </w:p>
    <w:p w14:paraId="3E445461" w14:textId="77777777" w:rsidR="003C6AD9" w:rsidRPr="003C6AD9" w:rsidRDefault="003C6AD9" w:rsidP="00682D9D">
      <w:pPr>
        <w:pStyle w:val="Subnumber"/>
        <w:numPr>
          <w:ilvl w:val="0"/>
          <w:numId w:val="0"/>
        </w:numPr>
        <w:ind w:left="737"/>
        <w:rPr>
          <w:bCs/>
          <w:i/>
          <w:iCs/>
        </w:rPr>
      </w:pPr>
    </w:p>
    <w:p w14:paraId="42D0C434" w14:textId="5D3EDFA8" w:rsidR="00186013" w:rsidRDefault="00186013" w:rsidP="00D058DD">
      <w:pPr>
        <w:pStyle w:val="Mainnumber"/>
      </w:pPr>
      <w:r>
        <w:t xml:space="preserve">Options </w:t>
      </w:r>
      <w:r w:rsidR="00442881">
        <w:t>a</w:t>
      </w:r>
      <w:r>
        <w:t xml:space="preserve">ppraisal </w:t>
      </w:r>
      <w:r w:rsidR="00442881">
        <w:t>and proposal</w:t>
      </w:r>
    </w:p>
    <w:p w14:paraId="1F3CD57A" w14:textId="77777777" w:rsidR="00442881" w:rsidRDefault="00442881" w:rsidP="00442881">
      <w:pPr>
        <w:pStyle w:val="Mainnumber"/>
        <w:numPr>
          <w:ilvl w:val="0"/>
          <w:numId w:val="0"/>
        </w:numPr>
        <w:ind w:left="737" w:hanging="737"/>
      </w:pPr>
    </w:p>
    <w:p w14:paraId="2BB01A60" w14:textId="0FFE2E69" w:rsidR="00442881" w:rsidRPr="0060531A" w:rsidRDefault="00744CAB" w:rsidP="00442881">
      <w:pPr>
        <w:pStyle w:val="Subnumber"/>
        <w:rPr>
          <w:rStyle w:val="normaltextrun"/>
          <w:i/>
          <w:iCs/>
          <w:color w:val="FF0000"/>
        </w:rPr>
      </w:pPr>
      <w:r>
        <w:rPr>
          <w:rStyle w:val="normaltextrun"/>
          <w:color w:val="000000"/>
          <w:shd w:val="clear" w:color="auto" w:fill="FFFFFF"/>
        </w:rPr>
        <w:t>The draft Pay Policy Statement for 2026/27 is in the </w:t>
      </w:r>
      <w:r>
        <w:rPr>
          <w:rStyle w:val="normaltextrun"/>
          <w:b/>
          <w:bCs/>
          <w:color w:val="000000"/>
          <w:shd w:val="clear" w:color="auto" w:fill="FFFFFF"/>
        </w:rPr>
        <w:t>Appendix 1.</w:t>
      </w:r>
      <w:r>
        <w:rPr>
          <w:rStyle w:val="normaltextrun"/>
          <w:color w:val="000000"/>
          <w:shd w:val="clear" w:color="auto" w:fill="FFFFFF"/>
        </w:rPr>
        <w:t> It is proposed that the Council resolves to approve the Pay Policy Statement for 2026/27.  </w:t>
      </w:r>
    </w:p>
    <w:p w14:paraId="5F80A52F" w14:textId="1F33FA17" w:rsidR="0060531A" w:rsidRPr="00744CAB" w:rsidRDefault="00D272E5" w:rsidP="00442881">
      <w:pPr>
        <w:pStyle w:val="Subnumber"/>
        <w:rPr>
          <w:rStyle w:val="normaltextrun"/>
          <w:i/>
          <w:iCs/>
          <w:color w:val="FF0000"/>
        </w:rPr>
      </w:pPr>
      <w:r>
        <w:rPr>
          <w:rStyle w:val="normaltextrun"/>
          <w:shd w:val="clear" w:color="auto" w:fill="FFFFFF"/>
        </w:rPr>
        <w:t>There are no options as it is a statutory requirement that the Pay Policy Statement for 2026/27 is published by 31 March 2026</w:t>
      </w:r>
    </w:p>
    <w:p w14:paraId="394C045C" w14:textId="77777777" w:rsidR="00442881" w:rsidRDefault="00442881" w:rsidP="00E24249">
      <w:pPr>
        <w:pStyle w:val="Mainnumber"/>
        <w:numPr>
          <w:ilvl w:val="0"/>
          <w:numId w:val="0"/>
        </w:numPr>
        <w:ind w:left="737" w:hanging="737"/>
      </w:pPr>
    </w:p>
    <w:p w14:paraId="40BCA3FB" w14:textId="06714781" w:rsidR="001B1242" w:rsidRDefault="008561E7" w:rsidP="00D058DD">
      <w:pPr>
        <w:pStyle w:val="Mainnumber"/>
      </w:pPr>
      <w:r>
        <w:t>R</w:t>
      </w:r>
      <w:r w:rsidR="00D058DD" w:rsidRPr="00745368">
        <w:t xml:space="preserve">isk </w:t>
      </w:r>
      <w:r w:rsidR="00AE5EF6">
        <w:t>implications</w:t>
      </w:r>
    </w:p>
    <w:p w14:paraId="7212DDEC" w14:textId="71EC8569" w:rsidR="00E80634" w:rsidRDefault="00F558AC" w:rsidP="00E80634">
      <w:pPr>
        <w:pStyle w:val="Mainnumber"/>
        <w:numPr>
          <w:ilvl w:val="0"/>
          <w:numId w:val="0"/>
        </w:numPr>
        <w:ind w:left="737"/>
        <w:rPr>
          <w:b w:val="0"/>
          <w:bCs w:val="0"/>
        </w:rPr>
      </w:pPr>
      <w:r w:rsidRPr="005C70D7">
        <w:rPr>
          <w:b w:val="0"/>
          <w:bCs w:val="0"/>
        </w:rPr>
        <w:t xml:space="preserve">Spelthorne needs to publish a Pay Policy Statement by 31 March each year in order to be </w:t>
      </w:r>
      <w:r w:rsidR="003C40D2" w:rsidRPr="005C70D7">
        <w:rPr>
          <w:b w:val="0"/>
          <w:bCs w:val="0"/>
        </w:rPr>
        <w:t xml:space="preserve">able to pay and remunerate </w:t>
      </w:r>
      <w:r w:rsidR="005C70D7" w:rsidRPr="005C70D7">
        <w:rPr>
          <w:b w:val="0"/>
          <w:bCs w:val="0"/>
        </w:rPr>
        <w:t>employees</w:t>
      </w:r>
      <w:r w:rsidR="003C40D2" w:rsidRPr="005C70D7">
        <w:rPr>
          <w:b w:val="0"/>
          <w:bCs w:val="0"/>
        </w:rPr>
        <w:t xml:space="preserve">.  Failure to do so </w:t>
      </w:r>
      <w:r w:rsidR="00B455DE" w:rsidRPr="005C70D7">
        <w:rPr>
          <w:b w:val="0"/>
          <w:bCs w:val="0"/>
        </w:rPr>
        <w:t xml:space="preserve">will mean that it will breach its contractual </w:t>
      </w:r>
      <w:r w:rsidR="664E4167">
        <w:rPr>
          <w:b w:val="0"/>
          <w:bCs w:val="0"/>
        </w:rPr>
        <w:t>and legal</w:t>
      </w:r>
      <w:r w:rsidR="00B455DE">
        <w:rPr>
          <w:b w:val="0"/>
          <w:bCs w:val="0"/>
        </w:rPr>
        <w:t xml:space="preserve"> </w:t>
      </w:r>
      <w:r w:rsidR="00B455DE" w:rsidRPr="005C70D7">
        <w:rPr>
          <w:b w:val="0"/>
          <w:bCs w:val="0"/>
        </w:rPr>
        <w:t>obligations to pay employees.</w:t>
      </w:r>
      <w:r w:rsidR="7DCC9B32">
        <w:rPr>
          <w:b w:val="0"/>
          <w:bCs w:val="0"/>
        </w:rPr>
        <w:t xml:space="preserve">  It is a statutory requirement to do so and </w:t>
      </w:r>
      <w:r w:rsidR="3231C7CD">
        <w:rPr>
          <w:b w:val="0"/>
          <w:bCs w:val="0"/>
        </w:rPr>
        <w:t>failure to meet this deadline will result in payments to staff not being made on time.</w:t>
      </w:r>
    </w:p>
    <w:p w14:paraId="6B36E7CA" w14:textId="77777777" w:rsidR="005C70D7" w:rsidRPr="005C70D7" w:rsidRDefault="005C70D7" w:rsidP="00E80634">
      <w:pPr>
        <w:pStyle w:val="Mainnumber"/>
        <w:numPr>
          <w:ilvl w:val="0"/>
          <w:numId w:val="0"/>
        </w:numPr>
        <w:ind w:left="737"/>
        <w:rPr>
          <w:b w:val="0"/>
          <w:bCs w:val="0"/>
        </w:rPr>
      </w:pPr>
    </w:p>
    <w:p w14:paraId="7574F0F8" w14:textId="1AA50922" w:rsidR="005914D8" w:rsidRDefault="005914D8" w:rsidP="005914D8">
      <w:pPr>
        <w:pStyle w:val="Mainnumber"/>
      </w:pPr>
      <w:r w:rsidRPr="00745368">
        <w:t>Financial implications</w:t>
      </w:r>
    </w:p>
    <w:p w14:paraId="54784E01" w14:textId="76FDC055" w:rsidR="005914D8" w:rsidRDefault="009B03C7" w:rsidP="00511B22">
      <w:pPr>
        <w:pStyle w:val="Subnumber"/>
        <w:numPr>
          <w:ilvl w:val="0"/>
          <w:numId w:val="0"/>
        </w:numPr>
        <w:ind w:left="737"/>
        <w:rPr>
          <w:rStyle w:val="eop"/>
          <w:color w:val="000000"/>
          <w:shd w:val="clear" w:color="auto" w:fill="FFFFFF"/>
        </w:rPr>
      </w:pPr>
      <w:r>
        <w:rPr>
          <w:rStyle w:val="normaltextrun"/>
          <w:color w:val="000000"/>
          <w:shd w:val="clear" w:color="auto" w:fill="FFFFFF"/>
        </w:rPr>
        <w:t>No direct financial implications to the Pay Policy Statement 2026/27. All pay decisions in the year must be in accordance with the published pay policy statement.</w:t>
      </w:r>
      <w:r>
        <w:rPr>
          <w:rStyle w:val="eop"/>
          <w:color w:val="000000"/>
          <w:shd w:val="clear" w:color="auto" w:fill="FFFFFF"/>
        </w:rPr>
        <w:t> </w:t>
      </w:r>
    </w:p>
    <w:p w14:paraId="7BBAE11B" w14:textId="77777777" w:rsidR="00D9402B" w:rsidRDefault="00D9402B" w:rsidP="00511B22">
      <w:pPr>
        <w:pStyle w:val="Subnumber"/>
        <w:numPr>
          <w:ilvl w:val="0"/>
          <w:numId w:val="0"/>
        </w:numPr>
        <w:ind w:left="737"/>
      </w:pPr>
    </w:p>
    <w:p w14:paraId="171B9760" w14:textId="4D7C2685" w:rsidR="00710552" w:rsidRDefault="00710552" w:rsidP="00710552">
      <w:pPr>
        <w:pStyle w:val="Mainnumber"/>
      </w:pPr>
      <w:r>
        <w:t xml:space="preserve">Legal </w:t>
      </w:r>
      <w:r w:rsidR="001A35B0">
        <w:t>comments</w:t>
      </w:r>
    </w:p>
    <w:p w14:paraId="5E4F73AF" w14:textId="4DD38013" w:rsidR="5B2A6896" w:rsidRDefault="5B2A6896" w:rsidP="5B2A6896">
      <w:pPr>
        <w:pStyle w:val="paragraph"/>
        <w:spacing w:before="0" w:beforeAutospacing="0" w:after="0" w:afterAutospacing="0"/>
        <w:rPr>
          <w:rStyle w:val="normaltextrun"/>
          <w:rFonts w:ascii="Arial" w:hAnsi="Arial" w:cs="Arial"/>
        </w:rPr>
      </w:pPr>
    </w:p>
    <w:p w14:paraId="05BD88A3" w14:textId="7F230740" w:rsidR="008A498D" w:rsidRDefault="6B9CE47A" w:rsidP="5B2A6896">
      <w:pPr>
        <w:pStyle w:val="paragraph"/>
        <w:spacing w:before="0" w:beforeAutospacing="0" w:after="0" w:afterAutospacing="0"/>
        <w:textAlignment w:val="baseline"/>
        <w:rPr>
          <w:rFonts w:ascii="Arial" w:eastAsia="Arial" w:hAnsi="Arial" w:cs="Arial"/>
        </w:rPr>
      </w:pPr>
      <w:r w:rsidRPr="5B2A6896">
        <w:rPr>
          <w:rStyle w:val="normaltextrun"/>
          <w:rFonts w:ascii="Arial" w:hAnsi="Arial" w:cs="Arial"/>
        </w:rPr>
        <w:lastRenderedPageBreak/>
        <w:t>6.1</w:t>
      </w:r>
      <w:r w:rsidR="008A498D">
        <w:tab/>
      </w:r>
      <w:r w:rsidR="262E8967" w:rsidRPr="5B2A6896">
        <w:rPr>
          <w:rFonts w:ascii="Arial" w:eastAsia="Arial" w:hAnsi="Arial" w:cs="Arial"/>
        </w:rPr>
        <w:t xml:space="preserve">The Council has a statutory duty to provide a Pay Policy Statement </w:t>
      </w:r>
      <w:r w:rsidR="0F4E8A31" w:rsidRPr="5B2A6896">
        <w:rPr>
          <w:rFonts w:ascii="Arial" w:eastAsia="Arial" w:hAnsi="Arial" w:cs="Arial"/>
        </w:rPr>
        <w:t xml:space="preserve">for each </w:t>
      </w:r>
      <w:r w:rsidR="008A498D">
        <w:tab/>
      </w:r>
      <w:r w:rsidR="0F4E8A31" w:rsidRPr="5B2A6896">
        <w:rPr>
          <w:rFonts w:ascii="Arial" w:eastAsia="Arial" w:hAnsi="Arial" w:cs="Arial"/>
        </w:rPr>
        <w:t>financial year</w:t>
      </w:r>
      <w:r w:rsidR="1C2473ED" w:rsidRPr="5B2A6896">
        <w:rPr>
          <w:rFonts w:ascii="Arial" w:eastAsia="Arial" w:hAnsi="Arial" w:cs="Arial"/>
        </w:rPr>
        <w:t xml:space="preserve"> (section 38 of the Localism Act 2011)</w:t>
      </w:r>
      <w:r w:rsidR="0F4E8A31" w:rsidRPr="5B2A6896">
        <w:rPr>
          <w:rFonts w:ascii="Arial" w:eastAsia="Arial" w:hAnsi="Arial" w:cs="Arial"/>
        </w:rPr>
        <w:t>.</w:t>
      </w:r>
      <w:r w:rsidR="262E8967" w:rsidRPr="5B2A6896">
        <w:rPr>
          <w:rFonts w:ascii="Arial" w:eastAsia="Arial" w:hAnsi="Arial" w:cs="Arial"/>
        </w:rPr>
        <w:t xml:space="preserve"> The </w:t>
      </w:r>
      <w:r w:rsidR="41047459" w:rsidRPr="5B2A6896">
        <w:rPr>
          <w:rFonts w:ascii="Arial" w:eastAsia="Arial" w:hAnsi="Arial" w:cs="Arial"/>
        </w:rPr>
        <w:t xml:space="preserve">Pay Policy </w:t>
      </w:r>
      <w:r w:rsidR="008A498D">
        <w:tab/>
      </w:r>
      <w:r w:rsidR="008A498D">
        <w:tab/>
      </w:r>
      <w:r w:rsidR="41047459" w:rsidRPr="5B2A6896">
        <w:rPr>
          <w:rFonts w:ascii="Arial" w:eastAsia="Arial" w:hAnsi="Arial" w:cs="Arial"/>
        </w:rPr>
        <w:t>Statement must comply with the relevant provisions in the Localism Act 2011</w:t>
      </w:r>
      <w:r w:rsidR="4940DDF1" w:rsidRPr="5B2A6896">
        <w:rPr>
          <w:rFonts w:ascii="Arial" w:eastAsia="Arial" w:hAnsi="Arial" w:cs="Arial"/>
        </w:rPr>
        <w:t xml:space="preserve"> </w:t>
      </w:r>
      <w:r w:rsidR="008A498D">
        <w:tab/>
      </w:r>
      <w:r w:rsidR="4940DDF1" w:rsidRPr="5B2A6896">
        <w:rPr>
          <w:rFonts w:ascii="Arial" w:eastAsia="Arial" w:hAnsi="Arial" w:cs="Arial"/>
        </w:rPr>
        <w:t xml:space="preserve">and give regard to </w:t>
      </w:r>
      <w:r w:rsidR="4940DDF1" w:rsidRPr="5B2A6896">
        <w:rPr>
          <w:rFonts w:ascii="Arial" w:eastAsia="Arial" w:hAnsi="Arial" w:cs="Arial"/>
          <w:color w:val="1E1E1E"/>
        </w:rPr>
        <w:t xml:space="preserve">any guidance issued or approved by the Secretary of </w:t>
      </w:r>
      <w:r w:rsidR="008A498D">
        <w:tab/>
      </w:r>
      <w:r w:rsidR="008A498D">
        <w:tab/>
      </w:r>
      <w:r w:rsidR="4940DDF1" w:rsidRPr="5B2A6896">
        <w:rPr>
          <w:rFonts w:ascii="Arial" w:eastAsia="Arial" w:hAnsi="Arial" w:cs="Arial"/>
          <w:color w:val="1E1E1E"/>
        </w:rPr>
        <w:t xml:space="preserve">State. </w:t>
      </w:r>
      <w:r w:rsidR="1A637D45" w:rsidRPr="5B2A6896">
        <w:rPr>
          <w:rFonts w:ascii="Arial" w:eastAsia="Arial" w:hAnsi="Arial" w:cs="Arial"/>
          <w:color w:val="1E1E1E"/>
        </w:rPr>
        <w:t xml:space="preserve"> The Pay Policy Statement that accompanies this report assists </w:t>
      </w:r>
      <w:r w:rsidR="5CA2C034" w:rsidRPr="5B2A6896">
        <w:rPr>
          <w:rFonts w:ascii="Arial" w:eastAsia="Arial" w:hAnsi="Arial" w:cs="Arial"/>
          <w:color w:val="1E1E1E"/>
        </w:rPr>
        <w:t xml:space="preserve">in </w:t>
      </w:r>
      <w:r w:rsidR="008A498D">
        <w:tab/>
      </w:r>
      <w:r w:rsidR="008A498D">
        <w:tab/>
      </w:r>
      <w:r w:rsidR="5CA2C034" w:rsidRPr="5B2A6896">
        <w:rPr>
          <w:rFonts w:ascii="Arial" w:eastAsia="Arial" w:hAnsi="Arial" w:cs="Arial"/>
          <w:color w:val="1E1E1E"/>
        </w:rPr>
        <w:t xml:space="preserve">discharging this statutory duty. </w:t>
      </w:r>
      <w:r w:rsidR="41047459" w:rsidRPr="5B2A6896">
        <w:rPr>
          <w:rFonts w:ascii="Arial" w:eastAsia="Arial" w:hAnsi="Arial" w:cs="Arial"/>
        </w:rPr>
        <w:t xml:space="preserve"> </w:t>
      </w:r>
    </w:p>
    <w:p w14:paraId="7FD9066D" w14:textId="11E88BC1" w:rsidR="008A498D" w:rsidRDefault="008A498D" w:rsidP="5B2A6896">
      <w:pPr>
        <w:pStyle w:val="paragraph"/>
        <w:spacing w:before="0" w:beforeAutospacing="0" w:after="0" w:afterAutospacing="0"/>
        <w:textAlignment w:val="baseline"/>
        <w:rPr>
          <w:rFonts w:ascii="Arial" w:eastAsia="Arial" w:hAnsi="Arial" w:cs="Arial"/>
        </w:rPr>
      </w:pPr>
    </w:p>
    <w:p w14:paraId="687F8DE6" w14:textId="5CA0CA56" w:rsidR="008A498D" w:rsidRDefault="5AF6AD97" w:rsidP="0C4F9894">
      <w:pPr>
        <w:pStyle w:val="paragraph"/>
        <w:spacing w:before="0" w:beforeAutospacing="0" w:after="0" w:afterAutospacing="0"/>
        <w:textAlignment w:val="baseline"/>
        <w:rPr>
          <w:rFonts w:ascii="Arial" w:hAnsi="Arial" w:cs="Arial"/>
        </w:rPr>
      </w:pPr>
      <w:r w:rsidRPr="5B2A6896">
        <w:rPr>
          <w:rFonts w:ascii="Arial" w:eastAsia="Arial" w:hAnsi="Arial" w:cs="Arial"/>
        </w:rPr>
        <w:t>6.2</w:t>
      </w:r>
      <w:r w:rsidR="008A498D">
        <w:tab/>
      </w:r>
      <w:r w:rsidR="008A498D">
        <w:rPr>
          <w:rStyle w:val="normaltextrun"/>
          <w:rFonts w:ascii="Arial" w:hAnsi="Arial" w:cs="Arial"/>
        </w:rPr>
        <w:t xml:space="preserve">Arrangements for pay and employment must comply with relevant </w:t>
      </w:r>
      <w:r w:rsidR="008A498D">
        <w:tab/>
      </w:r>
      <w:r w:rsidR="008A498D">
        <w:tab/>
      </w:r>
      <w:r w:rsidR="008A498D">
        <w:tab/>
      </w:r>
      <w:r w:rsidR="008A498D">
        <w:rPr>
          <w:rStyle w:val="normaltextrun"/>
          <w:rFonts w:ascii="Arial" w:hAnsi="Arial" w:cs="Arial"/>
        </w:rPr>
        <w:t xml:space="preserve">employment legislation, the Council’s Standing Orders, Scheme of </w:t>
      </w:r>
      <w:r w:rsidR="008A498D">
        <w:tab/>
      </w:r>
      <w:r w:rsidR="008A498D">
        <w:tab/>
      </w:r>
      <w:r w:rsidR="008A498D">
        <w:tab/>
      </w:r>
      <w:r w:rsidR="008A498D">
        <w:rPr>
          <w:rStyle w:val="normaltextrun"/>
          <w:rFonts w:ascii="Arial" w:hAnsi="Arial" w:cs="Arial"/>
        </w:rPr>
        <w:t xml:space="preserve">Delegation, policies, procedures and arrangements, staff terms and conditions </w:t>
      </w:r>
      <w:r w:rsidR="008A498D">
        <w:tab/>
      </w:r>
      <w:r w:rsidR="01B0D543" w:rsidRPr="5B2A6896">
        <w:rPr>
          <w:rStyle w:val="normaltextrun"/>
          <w:rFonts w:ascii="Arial" w:hAnsi="Arial" w:cs="Arial"/>
        </w:rPr>
        <w:t xml:space="preserve"> </w:t>
      </w:r>
      <w:r w:rsidR="008A498D">
        <w:rPr>
          <w:rStyle w:val="normaltextrun"/>
          <w:rFonts w:ascii="Arial" w:hAnsi="Arial" w:cs="Arial"/>
        </w:rPr>
        <w:t xml:space="preserve">of employment and the regulations of the Local Government Pension </w:t>
      </w:r>
      <w:r w:rsidR="008A498D">
        <w:tab/>
      </w:r>
      <w:r w:rsidR="008A498D">
        <w:tab/>
      </w:r>
      <w:r w:rsidR="008A498D">
        <w:rPr>
          <w:rStyle w:val="normaltextrun"/>
          <w:rFonts w:ascii="Arial" w:hAnsi="Arial" w:cs="Arial"/>
        </w:rPr>
        <w:t xml:space="preserve">Scheme. Arrangements for compensation for loss of office must comply </w:t>
      </w:r>
      <w:r w:rsidR="008A498D">
        <w:tab/>
      </w:r>
      <w:r w:rsidR="008A498D">
        <w:tab/>
      </w:r>
      <w:r w:rsidR="008A498D">
        <w:rPr>
          <w:rStyle w:val="normaltextrun"/>
          <w:rFonts w:ascii="Arial" w:hAnsi="Arial" w:cs="Arial"/>
        </w:rPr>
        <w:t>with the Council’s Discretionary Policy.</w:t>
      </w:r>
      <w:r w:rsidR="008A498D">
        <w:rPr>
          <w:rStyle w:val="eop"/>
          <w:rFonts w:ascii="Arial" w:hAnsi="Arial" w:cs="Arial"/>
        </w:rPr>
        <w:t> </w:t>
      </w:r>
    </w:p>
    <w:p w14:paraId="74A5801D" w14:textId="1FB8BA26" w:rsidR="10BDF5FA" w:rsidRDefault="10BDF5FA" w:rsidP="10BDF5FA">
      <w:pPr>
        <w:pStyle w:val="paragraph"/>
        <w:spacing w:before="0" w:beforeAutospacing="0" w:after="0" w:afterAutospacing="0"/>
        <w:rPr>
          <w:rStyle w:val="eop"/>
          <w:rFonts w:ascii="Arial" w:hAnsi="Arial" w:cs="Arial"/>
        </w:rPr>
      </w:pPr>
    </w:p>
    <w:p w14:paraId="0073AE4A" w14:textId="654567A9" w:rsidR="008A498D" w:rsidRDefault="1991A043" w:rsidP="10BDF5FA">
      <w:pPr>
        <w:pStyle w:val="paragraph"/>
        <w:spacing w:before="0" w:beforeAutospacing="0" w:after="0" w:afterAutospacing="0"/>
        <w:textAlignment w:val="baseline"/>
        <w:rPr>
          <w:rStyle w:val="eop"/>
          <w:rFonts w:ascii="Arial" w:hAnsi="Arial" w:cs="Arial"/>
        </w:rPr>
      </w:pPr>
      <w:r w:rsidRPr="5B2A6896">
        <w:rPr>
          <w:rStyle w:val="normaltextrun"/>
          <w:rFonts w:ascii="Arial" w:hAnsi="Arial" w:cs="Arial"/>
        </w:rPr>
        <w:t>6.</w:t>
      </w:r>
      <w:r w:rsidR="77D73C3C" w:rsidRPr="5B2A6896">
        <w:rPr>
          <w:rStyle w:val="normaltextrun"/>
          <w:rFonts w:ascii="Arial" w:hAnsi="Arial" w:cs="Arial"/>
        </w:rPr>
        <w:t>3</w:t>
      </w:r>
      <w:r w:rsidR="008A498D">
        <w:tab/>
      </w:r>
      <w:r w:rsidR="008A498D">
        <w:rPr>
          <w:rStyle w:val="normaltextrun"/>
          <w:rFonts w:ascii="Arial" w:hAnsi="Arial" w:cs="Arial"/>
        </w:rPr>
        <w:t xml:space="preserve">The matters contained in the Pay Policy Statement include arrangements </w:t>
      </w:r>
      <w:r w:rsidR="008A498D">
        <w:tab/>
      </w:r>
      <w:r w:rsidR="008A498D">
        <w:tab/>
      </w:r>
      <w:r w:rsidR="008A498D">
        <w:rPr>
          <w:rStyle w:val="normaltextrun"/>
          <w:rFonts w:ascii="Arial" w:hAnsi="Arial" w:cs="Arial"/>
        </w:rPr>
        <w:t xml:space="preserve">which are part of the contractual terms and conditions of employment, which </w:t>
      </w:r>
      <w:r w:rsidR="008A498D">
        <w:tab/>
      </w:r>
      <w:r w:rsidR="008A498D">
        <w:rPr>
          <w:rStyle w:val="normaltextrun"/>
          <w:rFonts w:ascii="Arial" w:hAnsi="Arial" w:cs="Arial"/>
        </w:rPr>
        <w:t>cannot be changed without prior consultation. </w:t>
      </w:r>
      <w:r w:rsidR="008A498D">
        <w:rPr>
          <w:rStyle w:val="eop"/>
          <w:rFonts w:ascii="Arial" w:hAnsi="Arial" w:cs="Arial"/>
        </w:rPr>
        <w:t> </w:t>
      </w:r>
    </w:p>
    <w:p w14:paraId="4ED6F461" w14:textId="77777777" w:rsidR="00C673E1" w:rsidRDefault="00C673E1" w:rsidP="00007F65">
      <w:pPr>
        <w:pStyle w:val="paragraph"/>
        <w:spacing w:before="0" w:beforeAutospacing="0" w:after="0" w:afterAutospacing="0"/>
        <w:ind w:left="720"/>
        <w:textAlignment w:val="baseline"/>
        <w:rPr>
          <w:rStyle w:val="eop"/>
          <w:rFonts w:ascii="Arial" w:hAnsi="Arial" w:cs="Arial"/>
        </w:rPr>
      </w:pPr>
    </w:p>
    <w:p w14:paraId="2887887C" w14:textId="625D01A2" w:rsidR="00C673E1" w:rsidRDefault="18DCF861" w:rsidP="10BDF5FA">
      <w:pPr>
        <w:pStyle w:val="paragraph"/>
        <w:spacing w:before="0" w:beforeAutospacing="0" w:after="0" w:afterAutospacing="0"/>
        <w:textAlignment w:val="baseline"/>
        <w:rPr>
          <w:rFonts w:ascii="Arial" w:hAnsi="Arial" w:cs="Arial"/>
        </w:rPr>
      </w:pPr>
      <w:r>
        <w:rPr>
          <w:rStyle w:val="normaltextrun"/>
          <w:rFonts w:ascii="Arial" w:hAnsi="Arial" w:cs="Arial"/>
          <w:color w:val="000000"/>
          <w:shd w:val="clear" w:color="auto" w:fill="FFFFFF"/>
        </w:rPr>
        <w:t>6.</w:t>
      </w:r>
      <w:r w:rsidR="1BAD2FAE">
        <w:rPr>
          <w:rStyle w:val="normaltextrun"/>
          <w:rFonts w:ascii="Arial" w:hAnsi="Arial" w:cs="Arial"/>
          <w:color w:val="000000"/>
          <w:shd w:val="clear" w:color="auto" w:fill="FFFFFF"/>
        </w:rPr>
        <w:t>4</w:t>
      </w:r>
      <w:r w:rsidR="00C673E1">
        <w:tab/>
      </w:r>
      <w:r w:rsidR="00C673E1">
        <w:rPr>
          <w:rStyle w:val="normaltextrun"/>
          <w:rFonts w:ascii="Arial" w:hAnsi="Arial" w:cs="Arial"/>
          <w:color w:val="000000"/>
          <w:shd w:val="clear" w:color="auto" w:fill="FFFFFF"/>
        </w:rPr>
        <w:t xml:space="preserve">Since February 2015 there is also a requirement to publish other information </w:t>
      </w:r>
      <w:r w:rsidR="00C673E1">
        <w:tab/>
      </w:r>
      <w:r w:rsidR="00C673E1">
        <w:rPr>
          <w:rStyle w:val="normaltextrun"/>
          <w:rFonts w:ascii="Arial" w:hAnsi="Arial" w:cs="Arial"/>
          <w:color w:val="000000"/>
          <w:shd w:val="clear" w:color="auto" w:fill="FFFFFF"/>
        </w:rPr>
        <w:t xml:space="preserve">on senior salaries/posts following the government’s publication of the Local </w:t>
      </w:r>
      <w:r w:rsidR="00C673E1">
        <w:tab/>
      </w:r>
      <w:r w:rsidR="00C673E1">
        <w:rPr>
          <w:rStyle w:val="normaltextrun"/>
          <w:rFonts w:ascii="Arial" w:hAnsi="Arial" w:cs="Arial"/>
          <w:color w:val="000000"/>
          <w:shd w:val="clear" w:color="auto" w:fill="FFFFFF"/>
        </w:rPr>
        <w:t xml:space="preserve">Government Transparency Code 2014. This information is published on the </w:t>
      </w:r>
      <w:r w:rsidR="00C673E1">
        <w:tab/>
      </w:r>
      <w:r w:rsidR="00C673E1">
        <w:rPr>
          <w:rStyle w:val="normaltextrun"/>
          <w:rFonts w:ascii="Arial" w:hAnsi="Arial" w:cs="Arial"/>
          <w:color w:val="000000"/>
          <w:shd w:val="clear" w:color="auto" w:fill="FFFFFF"/>
        </w:rPr>
        <w:t xml:space="preserve">Council’s website alongside the Pay Policy Statement and is updated </w:t>
      </w:r>
      <w:r w:rsidR="00C673E1">
        <w:tab/>
      </w:r>
      <w:r w:rsidR="00C673E1">
        <w:tab/>
      </w:r>
      <w:r w:rsidR="00C673E1">
        <w:rPr>
          <w:rStyle w:val="normaltextrun"/>
          <w:rFonts w:ascii="Arial" w:hAnsi="Arial" w:cs="Arial"/>
          <w:color w:val="000000"/>
          <w:shd w:val="clear" w:color="auto" w:fill="FFFFFF"/>
        </w:rPr>
        <w:t>annually.  </w:t>
      </w:r>
      <w:r w:rsidR="00C673E1">
        <w:rPr>
          <w:rStyle w:val="eop"/>
          <w:rFonts w:ascii="Arial" w:hAnsi="Arial" w:cs="Arial"/>
          <w:color w:val="000000"/>
          <w:shd w:val="clear" w:color="auto" w:fill="FFFFFF"/>
        </w:rPr>
        <w:t> </w:t>
      </w:r>
    </w:p>
    <w:p w14:paraId="2291BF33" w14:textId="742A7A44" w:rsidR="5B2A6896" w:rsidRDefault="5B2A6896" w:rsidP="5B2A6896">
      <w:pPr>
        <w:pStyle w:val="paragraph"/>
        <w:spacing w:before="0" w:beforeAutospacing="0" w:after="0" w:afterAutospacing="0"/>
        <w:rPr>
          <w:rStyle w:val="eop"/>
          <w:rFonts w:ascii="Arial" w:hAnsi="Arial" w:cs="Arial"/>
          <w:color w:val="000000" w:themeColor="text1"/>
        </w:rPr>
      </w:pPr>
    </w:p>
    <w:p w14:paraId="7C86524E" w14:textId="48126B5D" w:rsidR="674F86A3" w:rsidRDefault="674F86A3" w:rsidP="5B2A6896">
      <w:pPr>
        <w:pStyle w:val="paragraph"/>
        <w:spacing w:before="0" w:beforeAutospacing="0" w:after="0" w:afterAutospacing="0"/>
        <w:rPr>
          <w:rStyle w:val="eop"/>
          <w:rFonts w:ascii="Arial" w:hAnsi="Arial" w:cs="Arial"/>
          <w:color w:val="000000" w:themeColor="text1"/>
        </w:rPr>
      </w:pPr>
      <w:r w:rsidRPr="5B2A6896">
        <w:rPr>
          <w:rStyle w:val="eop"/>
          <w:rFonts w:ascii="Arial" w:hAnsi="Arial" w:cs="Arial"/>
          <w:color w:val="000000" w:themeColor="text1"/>
        </w:rPr>
        <w:t>6.5</w:t>
      </w:r>
      <w:r>
        <w:tab/>
      </w:r>
      <w:r w:rsidRPr="5B2A6896">
        <w:rPr>
          <w:rStyle w:val="eop"/>
          <w:rFonts w:ascii="Arial" w:hAnsi="Arial" w:cs="Arial"/>
          <w:color w:val="000000" w:themeColor="text1"/>
        </w:rPr>
        <w:t>Approval of the Pay Policy Statement is a matter for the C</w:t>
      </w:r>
      <w:r w:rsidR="47B92736" w:rsidRPr="5B2A6896">
        <w:rPr>
          <w:rStyle w:val="eop"/>
          <w:rFonts w:ascii="Arial" w:hAnsi="Arial" w:cs="Arial"/>
          <w:color w:val="000000" w:themeColor="text1"/>
        </w:rPr>
        <w:t xml:space="preserve">ouncil (Article 4 – </w:t>
      </w:r>
      <w:r>
        <w:tab/>
      </w:r>
      <w:r w:rsidR="47B92736" w:rsidRPr="5B2A6896">
        <w:rPr>
          <w:rStyle w:val="eop"/>
          <w:rFonts w:ascii="Arial" w:hAnsi="Arial" w:cs="Arial"/>
          <w:color w:val="000000" w:themeColor="text1"/>
        </w:rPr>
        <w:t xml:space="preserve">para 4.1 of the Constitution) </w:t>
      </w:r>
      <w:r w:rsidR="55FD510E" w:rsidRPr="5B2A6896">
        <w:rPr>
          <w:rStyle w:val="eop"/>
          <w:rFonts w:ascii="Arial" w:hAnsi="Arial" w:cs="Arial"/>
          <w:color w:val="000000" w:themeColor="text1"/>
        </w:rPr>
        <w:t xml:space="preserve">on the recommendation of the Corporate Policy </w:t>
      </w:r>
      <w:r>
        <w:tab/>
      </w:r>
      <w:r w:rsidR="55FD510E" w:rsidRPr="5B2A6896">
        <w:rPr>
          <w:rStyle w:val="eop"/>
          <w:rFonts w:ascii="Arial" w:hAnsi="Arial" w:cs="Arial"/>
          <w:color w:val="000000" w:themeColor="text1"/>
        </w:rPr>
        <w:t xml:space="preserve">and Resources Committee (part 3(b) of the Constitution). </w:t>
      </w:r>
    </w:p>
    <w:p w14:paraId="7D626DAE" w14:textId="1E6D494A" w:rsidR="00D92563" w:rsidRDefault="00D92563" w:rsidP="5B2A6896">
      <w:pPr>
        <w:pStyle w:val="paragraph"/>
        <w:spacing w:before="0" w:beforeAutospacing="0" w:after="0" w:afterAutospacing="0"/>
        <w:rPr>
          <w:rStyle w:val="eop"/>
          <w:rFonts w:ascii="Arial" w:hAnsi="Arial" w:cs="Arial"/>
          <w:color w:val="000000" w:themeColor="text1"/>
        </w:rPr>
      </w:pPr>
    </w:p>
    <w:p w14:paraId="07F11865" w14:textId="28DC6533" w:rsidR="00D92563" w:rsidRDefault="00007F65" w:rsidP="00D92563">
      <w:pPr>
        <w:pStyle w:val="Subnumber"/>
        <w:numPr>
          <w:ilvl w:val="0"/>
          <w:numId w:val="0"/>
        </w:numPr>
        <w:rPr>
          <w:b/>
        </w:rPr>
      </w:pPr>
      <w:r>
        <w:rPr>
          <w:b/>
        </w:rPr>
        <w:tab/>
      </w:r>
      <w:r w:rsidR="00D92563" w:rsidRPr="00D92563">
        <w:rPr>
          <w:b/>
        </w:rPr>
        <w:t>Corporate implications</w:t>
      </w:r>
    </w:p>
    <w:p w14:paraId="2D8E2222" w14:textId="45D8DB5D" w:rsidR="00007F65" w:rsidRDefault="0097494E" w:rsidP="00D92563">
      <w:pPr>
        <w:pStyle w:val="Subnumber"/>
        <w:numPr>
          <w:ilvl w:val="0"/>
          <w:numId w:val="0"/>
        </w:numPr>
        <w:rPr>
          <w:b/>
        </w:rPr>
      </w:pPr>
      <w:r>
        <w:rPr>
          <w:rStyle w:val="normaltextrun"/>
          <w:color w:val="000000"/>
          <w:shd w:val="clear" w:color="auto" w:fill="FFFFFF"/>
        </w:rPr>
        <w:t>Spelthorne</w:t>
      </w:r>
      <w:r w:rsidR="0B170BD9">
        <w:rPr>
          <w:rStyle w:val="normaltextrun"/>
          <w:color w:val="000000"/>
          <w:shd w:val="clear" w:color="auto" w:fill="FFFFFF"/>
        </w:rPr>
        <w:t xml:space="preserve"> Borough Council</w:t>
      </w:r>
      <w:r>
        <w:rPr>
          <w:rStyle w:val="normaltextrun"/>
          <w:color w:val="000000"/>
          <w:shd w:val="clear" w:color="auto" w:fill="FFFFFF"/>
        </w:rPr>
        <w:t xml:space="preserve"> is required to approve and publish Pay Policy Statement annually. The Council is an individual employer in its own right and has autonomy on pay elements that are appropriate to local circumstances. The provisions in the Localism Act </w:t>
      </w:r>
      <w:r w:rsidR="358488BE">
        <w:rPr>
          <w:rStyle w:val="normaltextrun"/>
          <w:color w:val="000000"/>
          <w:shd w:val="clear" w:color="auto" w:fill="FFFFFF"/>
        </w:rPr>
        <w:t>2011</w:t>
      </w:r>
      <w:r>
        <w:rPr>
          <w:rStyle w:val="normaltextrun"/>
          <w:color w:val="000000"/>
          <w:shd w:val="clear" w:color="auto" w:fill="FFFFFF"/>
        </w:rPr>
        <w:t xml:space="preserve"> and the guidance do not seek to change this or to determine what decisions on pay should be taken or what policies individual employing authorities should have in place. Rather, the provisions require that authorities are more open about their own local policies and how their local decisions are made.</w:t>
      </w:r>
      <w:r>
        <w:rPr>
          <w:rStyle w:val="eop"/>
          <w:color w:val="000000"/>
          <w:shd w:val="clear" w:color="auto" w:fill="FFFFFF"/>
        </w:rPr>
        <w:t> </w:t>
      </w:r>
    </w:p>
    <w:p w14:paraId="1351D1B5" w14:textId="77777777" w:rsidR="00885C13" w:rsidRPr="00D92563" w:rsidRDefault="00885C13" w:rsidP="00D92563">
      <w:pPr>
        <w:pStyle w:val="Subnumber"/>
        <w:numPr>
          <w:ilvl w:val="0"/>
          <w:numId w:val="0"/>
        </w:numPr>
        <w:rPr>
          <w:b/>
        </w:rPr>
      </w:pPr>
    </w:p>
    <w:p w14:paraId="1582F66B" w14:textId="2B4B923A" w:rsidR="00302734" w:rsidRDefault="00302734" w:rsidP="00302734">
      <w:pPr>
        <w:pStyle w:val="Mainnumber"/>
      </w:pPr>
      <w:r>
        <w:t>S151 Officer comment</w:t>
      </w:r>
      <w:r w:rsidR="00FE23A3">
        <w:t>s</w:t>
      </w:r>
    </w:p>
    <w:p w14:paraId="59881DD2" w14:textId="239C87F8" w:rsidR="00CB64CD" w:rsidRPr="002576D7" w:rsidRDefault="0082353C" w:rsidP="00066ED5">
      <w:pPr>
        <w:pStyle w:val="Mainnumber"/>
        <w:numPr>
          <w:ilvl w:val="0"/>
          <w:numId w:val="0"/>
        </w:numPr>
        <w:ind w:left="737"/>
        <w:rPr>
          <w:b w:val="0"/>
          <w:bCs w:val="0"/>
        </w:rPr>
      </w:pPr>
      <w:r w:rsidRPr="002576D7">
        <w:rPr>
          <w:b w:val="0"/>
          <w:bCs w:val="0"/>
        </w:rPr>
        <w:t>The Section 151 Officer has provided comments and input into the report on the pension</w:t>
      </w:r>
      <w:r w:rsidR="00152C70" w:rsidRPr="002576D7">
        <w:rPr>
          <w:b w:val="0"/>
          <w:bCs w:val="0"/>
        </w:rPr>
        <w:t xml:space="preserve"> fund</w:t>
      </w:r>
      <w:r w:rsidR="009C324B">
        <w:rPr>
          <w:b w:val="0"/>
          <w:bCs w:val="0"/>
        </w:rPr>
        <w:t xml:space="preserve"> within Appendix 1</w:t>
      </w:r>
      <w:r w:rsidR="00296B00">
        <w:rPr>
          <w:b w:val="0"/>
          <w:bCs w:val="0"/>
        </w:rPr>
        <w:t>.</w:t>
      </w:r>
    </w:p>
    <w:p w14:paraId="55ECE4ED" w14:textId="194DDBF3" w:rsidR="00CB64CD" w:rsidRPr="00066ED5" w:rsidRDefault="00CB64CD" w:rsidP="00066ED5">
      <w:pPr>
        <w:pStyle w:val="Mainnumber"/>
        <w:rPr>
          <w:b w:val="0"/>
          <w:bCs w:val="0"/>
        </w:rPr>
      </w:pPr>
      <w:r w:rsidRPr="00066ED5">
        <w:t>Monitoring Officer comment</w:t>
      </w:r>
      <w:r w:rsidR="00FE23A3">
        <w:t>s</w:t>
      </w:r>
    </w:p>
    <w:p w14:paraId="32D301A9" w14:textId="0A6E9DCE" w:rsidR="63B9D34E" w:rsidRDefault="63B9D34E" w:rsidP="5B2A6896">
      <w:pPr>
        <w:pStyle w:val="Subnumber"/>
      </w:pPr>
      <w:r w:rsidRPr="5B2A6896">
        <w:rPr>
          <w:rFonts w:eastAsia="Arial"/>
          <w:color w:val="000000" w:themeColor="text1"/>
        </w:rPr>
        <w:t>The Monitoring Officer confirms that the relevant legal implications have been taken into account.</w:t>
      </w:r>
    </w:p>
    <w:p w14:paraId="78A4902C" w14:textId="62206637" w:rsidR="00262E4A" w:rsidRDefault="00262E4A" w:rsidP="00262E4A">
      <w:pPr>
        <w:pStyle w:val="Mainnumber"/>
      </w:pPr>
      <w:r>
        <w:t>Procurement co</w:t>
      </w:r>
      <w:r w:rsidR="004F47B9">
        <w:t xml:space="preserve">mments </w:t>
      </w:r>
    </w:p>
    <w:p w14:paraId="05F8C547" w14:textId="6179F6EA" w:rsidR="6A3731E2" w:rsidRDefault="6A3731E2" w:rsidP="5B2A6896">
      <w:pPr>
        <w:pStyle w:val="Subnumber"/>
        <w:numPr>
          <w:ilvl w:val="0"/>
          <w:numId w:val="0"/>
        </w:numPr>
        <w:spacing w:line="259" w:lineRule="auto"/>
      </w:pPr>
      <w:r w:rsidRPr="5B2A6896">
        <w:t xml:space="preserve">           There are no procurement implications arising directly from this report.</w:t>
      </w:r>
    </w:p>
    <w:p w14:paraId="721E311E" w14:textId="2921AA9E" w:rsidR="0000533F" w:rsidRDefault="00197482" w:rsidP="0000533F">
      <w:pPr>
        <w:pStyle w:val="Mainnumber"/>
      </w:pPr>
      <w:r>
        <w:t>Equality and Diversity</w:t>
      </w:r>
    </w:p>
    <w:p w14:paraId="63A65BD5" w14:textId="77777777" w:rsidR="003B2246" w:rsidRDefault="003B2246" w:rsidP="003B2246">
      <w:pPr>
        <w:pStyle w:val="paragraph"/>
        <w:spacing w:before="0" w:beforeAutospacing="0" w:after="0" w:afterAutospacing="0"/>
        <w:ind w:left="720"/>
        <w:textAlignment w:val="baseline"/>
        <w:rPr>
          <w:rFonts w:ascii="Arial" w:hAnsi="Arial" w:cs="Arial"/>
        </w:rPr>
      </w:pPr>
      <w:bookmarkStart w:id="2" w:name="_Hlk218765775"/>
      <w:r>
        <w:rPr>
          <w:rStyle w:val="normaltextrun"/>
          <w:rFonts w:ascii="Arial" w:hAnsi="Arial" w:cs="Arial"/>
        </w:rPr>
        <w:lastRenderedPageBreak/>
        <w:t>The Pay Policy Statement is in relation to all staff and will be accessible by all staff.</w:t>
      </w:r>
      <w:r>
        <w:rPr>
          <w:rStyle w:val="eop"/>
          <w:rFonts w:ascii="Arial" w:hAnsi="Arial" w:cs="Arial"/>
        </w:rPr>
        <w:t> </w:t>
      </w:r>
    </w:p>
    <w:bookmarkEnd w:id="2"/>
    <w:p w14:paraId="001DDF03" w14:textId="77777777" w:rsidR="003B2246" w:rsidRDefault="003B2246" w:rsidP="003B2246">
      <w:pPr>
        <w:pStyle w:val="paragraph"/>
        <w:spacing w:before="0" w:beforeAutospacing="0" w:after="0" w:afterAutospacing="0"/>
        <w:ind w:left="720"/>
        <w:textAlignment w:val="baseline"/>
        <w:rPr>
          <w:rFonts w:ascii="Arial" w:hAnsi="Arial" w:cs="Arial"/>
        </w:rPr>
      </w:pPr>
      <w:r>
        <w:rPr>
          <w:rStyle w:val="normaltextrun"/>
          <w:rFonts w:ascii="Arial" w:hAnsi="Arial" w:cs="Arial"/>
        </w:rPr>
        <w:t>Arrangements for pay will take into account the full scope of the job including the complexity of work, range of responsibilities and the skills and experience required to undertake them, having regard to the need for equal pay for work of equal value. </w:t>
      </w:r>
      <w:r>
        <w:rPr>
          <w:rStyle w:val="eop"/>
          <w:rFonts w:ascii="Arial" w:hAnsi="Arial" w:cs="Arial"/>
        </w:rPr>
        <w:t> </w:t>
      </w:r>
    </w:p>
    <w:p w14:paraId="15012765" w14:textId="77777777" w:rsidR="003B2246" w:rsidRDefault="003B2246" w:rsidP="003B2246">
      <w:pPr>
        <w:pStyle w:val="paragraph"/>
        <w:spacing w:before="0" w:beforeAutospacing="0" w:after="0" w:afterAutospacing="0"/>
        <w:ind w:left="720"/>
        <w:textAlignment w:val="baseline"/>
        <w:rPr>
          <w:rFonts w:ascii="Arial" w:hAnsi="Arial" w:cs="Arial"/>
        </w:rPr>
      </w:pPr>
      <w:r>
        <w:rPr>
          <w:rStyle w:val="normaltextrun"/>
          <w:rFonts w:ascii="Arial" w:hAnsi="Arial" w:cs="Arial"/>
        </w:rPr>
        <w:t>In accordance with the Equality Act 2010, reasonable adjustments are made to ensure safe working and to remove, prevent or reduce any obstacles there may be in carrying out a role. </w:t>
      </w:r>
      <w:r>
        <w:rPr>
          <w:rStyle w:val="eop"/>
          <w:rFonts w:ascii="Arial" w:hAnsi="Arial" w:cs="Arial"/>
        </w:rPr>
        <w:t> </w:t>
      </w:r>
    </w:p>
    <w:p w14:paraId="7EABCA60" w14:textId="77777777" w:rsidR="00BB5644" w:rsidRDefault="00BB5644" w:rsidP="00BB5644">
      <w:pPr>
        <w:pStyle w:val="Mainnumber"/>
        <w:numPr>
          <w:ilvl w:val="0"/>
          <w:numId w:val="0"/>
        </w:numPr>
        <w:ind w:left="737"/>
      </w:pPr>
    </w:p>
    <w:p w14:paraId="7EB1E2D3" w14:textId="5F1767E8" w:rsidR="00211E70" w:rsidRDefault="00211E70" w:rsidP="00D31629">
      <w:pPr>
        <w:pStyle w:val="Mainnumber"/>
      </w:pPr>
      <w:r>
        <w:t>Sustainability</w:t>
      </w:r>
      <w:r w:rsidR="00575643">
        <w:t>/Climate Change</w:t>
      </w:r>
      <w:r>
        <w:t xml:space="preserve"> Implications</w:t>
      </w:r>
    </w:p>
    <w:p w14:paraId="02649D52" w14:textId="0D4686BD" w:rsidR="006C56B6" w:rsidRPr="001F25DF" w:rsidRDefault="001F25DF" w:rsidP="006C56B6">
      <w:pPr>
        <w:pStyle w:val="Subnumber"/>
        <w:numPr>
          <w:ilvl w:val="0"/>
          <w:numId w:val="0"/>
        </w:numPr>
        <w:ind w:left="737"/>
        <w:rPr>
          <w:i/>
          <w:iCs/>
        </w:rPr>
      </w:pPr>
      <w:r w:rsidRPr="001F25DF">
        <w:rPr>
          <w:i/>
          <w:iCs/>
        </w:rPr>
        <w:t>None</w:t>
      </w:r>
    </w:p>
    <w:p w14:paraId="1496D469" w14:textId="77777777" w:rsidR="00617EAD" w:rsidRPr="0035570C" w:rsidRDefault="00617EAD" w:rsidP="00617EAD">
      <w:pPr>
        <w:pStyle w:val="Mainnumber"/>
      </w:pPr>
      <w:r>
        <w:t>O</w:t>
      </w:r>
      <w:r w:rsidRPr="00DC61D0">
        <w:t>ther considerations</w:t>
      </w:r>
    </w:p>
    <w:p w14:paraId="43481FB4" w14:textId="316E9B3C" w:rsidR="00617EAD" w:rsidRPr="001B6B95" w:rsidRDefault="00C46BD4" w:rsidP="00C46BD4">
      <w:pPr>
        <w:pStyle w:val="Subnumber"/>
        <w:numPr>
          <w:ilvl w:val="0"/>
          <w:numId w:val="0"/>
        </w:numPr>
        <w:ind w:left="737"/>
      </w:pPr>
      <w:r w:rsidRPr="001B6B95">
        <w:t>This is the last Pay Policy Spelthorne Borough Council will publish</w:t>
      </w:r>
      <w:r w:rsidR="006F0D5C" w:rsidRPr="001B6B95">
        <w:t>.  From 2027</w:t>
      </w:r>
      <w:r w:rsidR="00D10EE1">
        <w:t xml:space="preserve"> financial year</w:t>
      </w:r>
      <w:r w:rsidR="006F0D5C" w:rsidRPr="001B6B95">
        <w:t>, it will become part of West Surrey</w:t>
      </w:r>
      <w:r w:rsidR="006345FE" w:rsidRPr="001B6B95">
        <w:t>.</w:t>
      </w:r>
    </w:p>
    <w:p w14:paraId="740BB719" w14:textId="77777777" w:rsidR="006C56B6" w:rsidRPr="006345FE" w:rsidRDefault="006C56B6" w:rsidP="006C56B6">
      <w:pPr>
        <w:pStyle w:val="Subnumber"/>
        <w:numPr>
          <w:ilvl w:val="0"/>
          <w:numId w:val="0"/>
        </w:numPr>
        <w:ind w:left="737"/>
        <w:rPr>
          <w:i/>
          <w:iCs/>
        </w:rPr>
      </w:pPr>
    </w:p>
    <w:p w14:paraId="74A09F27" w14:textId="2B362108" w:rsidR="00C637A2" w:rsidRDefault="00C637A2" w:rsidP="00045A8E">
      <w:pPr>
        <w:pStyle w:val="Mainnumber"/>
      </w:pPr>
      <w:r w:rsidRPr="00E00BDF">
        <w:t>Timetable for implementation</w:t>
      </w:r>
    </w:p>
    <w:p w14:paraId="04F797F2" w14:textId="4219E7C8" w:rsidR="00045A8E" w:rsidRPr="00045A8E" w:rsidRDefault="00045A8E" w:rsidP="00045A8E">
      <w:pPr>
        <w:pStyle w:val="Mainnumber"/>
        <w:numPr>
          <w:ilvl w:val="0"/>
          <w:numId w:val="0"/>
        </w:numPr>
        <w:ind w:left="737"/>
        <w:rPr>
          <w:b w:val="0"/>
          <w:bCs w:val="0"/>
        </w:rPr>
      </w:pPr>
      <w:r w:rsidRPr="00045A8E">
        <w:rPr>
          <w:rStyle w:val="normaltextrun"/>
          <w:b w:val="0"/>
          <w:bCs w:val="0"/>
          <w:color w:val="000000"/>
          <w:shd w:val="clear" w:color="auto" w:fill="FFFFFF"/>
        </w:rPr>
        <w:t>The Pay Policy Statement for the 202</w:t>
      </w:r>
      <w:r>
        <w:rPr>
          <w:rStyle w:val="normaltextrun"/>
          <w:b w:val="0"/>
          <w:bCs w:val="0"/>
          <w:color w:val="000000"/>
          <w:shd w:val="clear" w:color="auto" w:fill="FFFFFF"/>
        </w:rPr>
        <w:t>6/27</w:t>
      </w:r>
      <w:r w:rsidRPr="00045A8E">
        <w:rPr>
          <w:rStyle w:val="normaltextrun"/>
          <w:b w:val="0"/>
          <w:bCs w:val="0"/>
          <w:color w:val="000000"/>
          <w:shd w:val="clear" w:color="auto" w:fill="FFFFFF"/>
        </w:rPr>
        <w:t> financial year must be agreed by Council by 31 March 2026 and be published on the website. All pay decisions in the year will be in accordance with the published pay policy statement and any agreed amendments.</w:t>
      </w:r>
      <w:r w:rsidRPr="00045A8E">
        <w:rPr>
          <w:rStyle w:val="eop"/>
          <w:b w:val="0"/>
          <w:bCs w:val="0"/>
          <w:color w:val="000000"/>
          <w:shd w:val="clear" w:color="auto" w:fill="FFFFFF"/>
        </w:rPr>
        <w:t> </w:t>
      </w:r>
    </w:p>
    <w:p w14:paraId="39D4A8AF" w14:textId="77777777" w:rsidR="006C56B6" w:rsidRPr="00577ED4" w:rsidRDefault="006C56B6" w:rsidP="006C56B6">
      <w:pPr>
        <w:pStyle w:val="Subnumber"/>
        <w:numPr>
          <w:ilvl w:val="0"/>
          <w:numId w:val="0"/>
        </w:numPr>
        <w:ind w:left="737"/>
        <w:rPr>
          <w:i/>
          <w:iCs/>
          <w:color w:val="FF0000"/>
        </w:rPr>
      </w:pPr>
    </w:p>
    <w:p w14:paraId="58F95755" w14:textId="7756505F" w:rsidR="008A7752" w:rsidRDefault="008A7752" w:rsidP="008A7752">
      <w:pPr>
        <w:pStyle w:val="Mainnumber"/>
      </w:pPr>
      <w:r>
        <w:t>Contact</w:t>
      </w:r>
    </w:p>
    <w:p w14:paraId="510695AD" w14:textId="7DEFFDC4" w:rsidR="00C637A2" w:rsidRDefault="003D2232" w:rsidP="00C637A2">
      <w:pPr>
        <w:rPr>
          <w:b/>
          <w:bCs/>
        </w:rPr>
      </w:pPr>
      <w:r>
        <w:rPr>
          <w:b/>
          <w:bCs/>
        </w:rPr>
        <w:tab/>
        <w:t>Angela Tooth and Debbie O’Sullivan</w:t>
      </w:r>
    </w:p>
    <w:p w14:paraId="6DDE387B" w14:textId="77777777" w:rsidR="009B7311" w:rsidRDefault="009B7311" w:rsidP="00C637A2">
      <w:pPr>
        <w:rPr>
          <w:b/>
          <w:bCs/>
        </w:rPr>
      </w:pPr>
    </w:p>
    <w:p w14:paraId="647D41F4" w14:textId="77777777" w:rsidR="0045032C" w:rsidRDefault="0045032C" w:rsidP="00C637A2">
      <w:pPr>
        <w:rPr>
          <w:b/>
          <w:bCs/>
        </w:rPr>
      </w:pPr>
    </w:p>
    <w:p w14:paraId="04A8E717" w14:textId="7043E2CA" w:rsidR="00C637A2" w:rsidRPr="00265808" w:rsidRDefault="00C637A2" w:rsidP="00C637A2">
      <w:pPr>
        <w:rPr>
          <w:rFonts w:cs="Arial"/>
          <w:i/>
          <w:iCs/>
        </w:rPr>
      </w:pPr>
      <w:r w:rsidRPr="00C637A2">
        <w:rPr>
          <w:rFonts w:cs="Arial"/>
          <w:b/>
          <w:bCs/>
        </w:rPr>
        <w:t>Background papers:</w:t>
      </w:r>
      <w:r w:rsidR="00EB5FC6">
        <w:rPr>
          <w:rFonts w:cs="Arial"/>
          <w:b/>
          <w:bCs/>
        </w:rPr>
        <w:t xml:space="preserve"> </w:t>
      </w:r>
      <w:r w:rsidR="00265808" w:rsidRPr="00265808">
        <w:rPr>
          <w:rFonts w:cs="Arial"/>
          <w:i/>
          <w:iCs/>
        </w:rPr>
        <w:t xml:space="preserve"> </w:t>
      </w:r>
      <w:r w:rsidR="00265808" w:rsidRPr="00265808">
        <w:rPr>
          <w:rFonts w:cs="Arial"/>
          <w:b/>
          <w:bCs/>
        </w:rPr>
        <w:t>There are none</w:t>
      </w:r>
      <w:r w:rsidR="00265808" w:rsidRPr="00265808">
        <w:rPr>
          <w:rFonts w:cs="Arial"/>
          <w:b/>
          <w:bCs/>
          <w:i/>
          <w:iCs/>
        </w:rPr>
        <w:t>.</w:t>
      </w:r>
    </w:p>
    <w:p w14:paraId="5EB61DA4" w14:textId="77777777" w:rsidR="00C637A2" w:rsidRPr="00265808" w:rsidRDefault="00C637A2" w:rsidP="00D57F2E">
      <w:pPr>
        <w:widowControl w:val="0"/>
        <w:rPr>
          <w:rFonts w:cs="Arial"/>
          <w:i/>
          <w:iCs/>
          <w:szCs w:val="24"/>
        </w:rPr>
      </w:pPr>
    </w:p>
    <w:p w14:paraId="76CA4725" w14:textId="5CB2158E" w:rsidR="00CD00D1" w:rsidRDefault="00600014" w:rsidP="5B2A6896">
      <w:pPr>
        <w:pStyle w:val="paragraph"/>
        <w:spacing w:before="0" w:beforeAutospacing="0" w:after="0" w:afterAutospacing="0"/>
        <w:textAlignment w:val="baseline"/>
        <w:rPr>
          <w:rFonts w:ascii="Segoe UI" w:hAnsi="Segoe UI" w:cs="Segoe UI"/>
          <w:sz w:val="18"/>
          <w:szCs w:val="18"/>
        </w:rPr>
      </w:pPr>
      <w:r w:rsidRPr="5B2A6896">
        <w:rPr>
          <w:rFonts w:ascii="Arial" w:eastAsia="Arial" w:hAnsi="Arial" w:cs="Arial"/>
        </w:rPr>
        <w:t>Appendices:</w:t>
      </w:r>
      <w:r w:rsidR="00992922">
        <w:rPr>
          <w:rFonts w:cs="Arial"/>
          <w:b/>
        </w:rPr>
        <w:t xml:space="preserve">  </w:t>
      </w:r>
    </w:p>
    <w:p w14:paraId="1BF4953F" w14:textId="100C8927" w:rsidR="00CD00D1" w:rsidRDefault="00CD00D1" w:rsidP="5B2A6896">
      <w:pPr>
        <w:pStyle w:val="paragraph"/>
        <w:spacing w:before="0" w:beforeAutospacing="0" w:after="0" w:afterAutospacing="0"/>
        <w:textAlignment w:val="baseline"/>
        <w:rPr>
          <w:rStyle w:val="normaltextrun"/>
          <w:rFonts w:ascii="Arial" w:hAnsi="Arial" w:cs="Arial"/>
        </w:rPr>
      </w:pPr>
    </w:p>
    <w:p w14:paraId="5DBE302B" w14:textId="6C94D502" w:rsidR="00CD00D1" w:rsidRDefault="00CD00D1" w:rsidP="00CD00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Appendix 1:</w:t>
      </w:r>
      <w:r>
        <w:tab/>
      </w:r>
      <w:r>
        <w:rPr>
          <w:rStyle w:val="normaltextrun"/>
          <w:rFonts w:ascii="Arial" w:hAnsi="Arial" w:cs="Arial"/>
        </w:rPr>
        <w:t>Pay Policy Statement 2026/27</w:t>
      </w:r>
      <w:r>
        <w:rPr>
          <w:rStyle w:val="eop"/>
          <w:rFonts w:ascii="Arial" w:hAnsi="Arial" w:cs="Arial"/>
        </w:rPr>
        <w:t> </w:t>
      </w:r>
    </w:p>
    <w:p w14:paraId="644ACF8A" w14:textId="77777777" w:rsidR="00CD00D1" w:rsidRDefault="00CD00D1" w:rsidP="00CD00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Appendix 2:</w:t>
      </w:r>
      <w:r>
        <w:rPr>
          <w:rStyle w:val="tabchar"/>
          <w:rFonts w:ascii="Calibri" w:hAnsi="Calibri" w:cs="Calibri"/>
        </w:rPr>
        <w:tab/>
      </w:r>
      <w:r>
        <w:rPr>
          <w:rStyle w:val="normaltextrun"/>
          <w:rFonts w:ascii="Arial" w:hAnsi="Arial" w:cs="Arial"/>
        </w:rPr>
        <w:t>Discretions Policy</w:t>
      </w:r>
      <w:r>
        <w:rPr>
          <w:rStyle w:val="eop"/>
          <w:rFonts w:ascii="Arial" w:hAnsi="Arial" w:cs="Arial"/>
        </w:rPr>
        <w:t> </w:t>
      </w:r>
    </w:p>
    <w:p w14:paraId="2508CCE2" w14:textId="77777777" w:rsidR="00CD00D1" w:rsidRDefault="00CD00D1" w:rsidP="00CD00D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B9C16F1" w14:textId="5DA8B538" w:rsidR="00F84B90" w:rsidRDefault="00F84B90" w:rsidP="00D57F2E">
      <w:pPr>
        <w:widowControl w:val="0"/>
        <w:rPr>
          <w:rFonts w:cs="Arial"/>
          <w:b/>
          <w:szCs w:val="24"/>
        </w:rPr>
      </w:pPr>
    </w:p>
    <w:p w14:paraId="051A14EA" w14:textId="77606008" w:rsidR="00946F66" w:rsidRPr="00600014" w:rsidRDefault="00946F66" w:rsidP="00D57F2E">
      <w:pPr>
        <w:widowControl w:val="0"/>
        <w:rPr>
          <w:rFonts w:cs="Arial"/>
          <w:b/>
          <w:szCs w:val="24"/>
        </w:rPr>
      </w:pPr>
      <w:r w:rsidRPr="006C56B6">
        <w:rPr>
          <w:rFonts w:cs="Arial"/>
          <w:bCs/>
          <w:i/>
          <w:iCs/>
          <w:color w:val="FF0000"/>
          <w:szCs w:val="24"/>
        </w:rPr>
        <w:t>.</w:t>
      </w:r>
    </w:p>
    <w:sectPr w:rsidR="00946F66" w:rsidRPr="00600014" w:rsidSect="00FA5A06">
      <w:footerReference w:type="default" r:id="rId11"/>
      <w:headerReference w:type="first" r:id="rId12"/>
      <w:footerReference w:type="first" r:id="rId13"/>
      <w:pgSz w:w="11906" w:h="16838"/>
      <w:pgMar w:top="96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463E" w14:textId="77777777" w:rsidR="00FA42AD" w:rsidRDefault="00FA42AD" w:rsidP="00806157">
      <w:r>
        <w:separator/>
      </w:r>
    </w:p>
  </w:endnote>
  <w:endnote w:type="continuationSeparator" w:id="0">
    <w:p w14:paraId="11BAC312" w14:textId="77777777" w:rsidR="00FA42AD" w:rsidRDefault="00FA42AD" w:rsidP="0080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4234" w14:textId="77777777" w:rsidR="00A037D2" w:rsidRPr="002321B4" w:rsidRDefault="00A037D2" w:rsidP="00137153">
    <w:pPr>
      <w:pStyle w:val="Footer"/>
      <w:tabs>
        <w:tab w:val="clear" w:pos="9026"/>
      </w:tabs>
      <w:ind w:right="-330"/>
      <w:jc w:val="right"/>
      <w:rPr>
        <w:color w:val="7F7F7F"/>
      </w:rPr>
    </w:pPr>
  </w:p>
  <w:p w14:paraId="35888FAC" w14:textId="77777777" w:rsidR="00A037D2" w:rsidRDefault="00A0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9976" w14:textId="77777777" w:rsidR="0027597D" w:rsidRDefault="0027597D" w:rsidP="00460100">
    <w:pPr>
      <w:pStyle w:val="Footer"/>
    </w:pPr>
  </w:p>
  <w:p w14:paraId="48522234" w14:textId="41BB5302" w:rsidR="006219C5" w:rsidRPr="00460100" w:rsidRDefault="006219C5" w:rsidP="0046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2448" w14:textId="77777777" w:rsidR="00FA42AD" w:rsidRDefault="00FA42AD" w:rsidP="00806157">
      <w:r>
        <w:separator/>
      </w:r>
    </w:p>
  </w:footnote>
  <w:footnote w:type="continuationSeparator" w:id="0">
    <w:p w14:paraId="0231AAA1" w14:textId="77777777" w:rsidR="00FA42AD" w:rsidRDefault="00FA42AD" w:rsidP="0080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18AD" w14:textId="4F70A13F" w:rsidR="006E7C7D" w:rsidRPr="00602728" w:rsidRDefault="009473C8" w:rsidP="006E7C7D">
    <w:pPr>
      <w:pStyle w:val="Header"/>
      <w:rPr>
        <w:b/>
        <w:bCs/>
      </w:rPr>
    </w:pPr>
    <w:r w:rsidRPr="009473C8">
      <w:rPr>
        <w:rFonts w:ascii="Calibri" w:eastAsia="Times New Roman" w:hAnsi="Calibri"/>
        <w:noProof/>
        <w:sz w:val="22"/>
        <w:lang w:eastAsia="en-GB"/>
      </w:rPr>
      <w:drawing>
        <wp:anchor distT="0" distB="0" distL="114300" distR="114300" simplePos="0" relativeHeight="251658240" behindDoc="1" locked="0" layoutInCell="1" allowOverlap="1" wp14:anchorId="60ABD3E0" wp14:editId="0D042DC7">
          <wp:simplePos x="0" y="0"/>
          <wp:positionH relativeFrom="column">
            <wp:posOffset>4606290</wp:posOffset>
          </wp:positionH>
          <wp:positionV relativeFrom="paragraph">
            <wp:posOffset>158750</wp:posOffset>
          </wp:positionV>
          <wp:extent cx="1514475" cy="100965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14475" cy="1009650"/>
                  </a:xfrm>
                  <a:prstGeom prst="rect">
                    <a:avLst/>
                  </a:prstGeom>
                  <a:noFill/>
                  <a:ln>
                    <a:noFill/>
                  </a:ln>
                </pic:spPr>
              </pic:pic>
            </a:graphicData>
          </a:graphic>
        </wp:anchor>
      </w:drawing>
    </w:r>
    <w:r w:rsidR="0060272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017"/>
    <w:multiLevelType w:val="multilevel"/>
    <w:tmpl w:val="2AD8E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50775"/>
    <w:multiLevelType w:val="hybridMultilevel"/>
    <w:tmpl w:val="AB78C50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37D01EF"/>
    <w:multiLevelType w:val="hybridMultilevel"/>
    <w:tmpl w:val="635C3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94492C"/>
    <w:multiLevelType w:val="multilevel"/>
    <w:tmpl w:val="D82A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4E24BF"/>
    <w:multiLevelType w:val="hybridMultilevel"/>
    <w:tmpl w:val="59C2CEEC"/>
    <w:lvl w:ilvl="0" w:tplc="DD0CA3BC">
      <w:start w:val="1"/>
      <w:numFmt w:val="bullet"/>
      <w:lvlText w:val="•"/>
      <w:lvlJc w:val="left"/>
      <w:pPr>
        <w:tabs>
          <w:tab w:val="num" w:pos="720"/>
        </w:tabs>
        <w:ind w:left="720" w:hanging="360"/>
      </w:pPr>
      <w:rPr>
        <w:rFonts w:ascii="Arial" w:hAnsi="Arial" w:hint="default"/>
      </w:rPr>
    </w:lvl>
    <w:lvl w:ilvl="1" w:tplc="E376AC9C" w:tentative="1">
      <w:start w:val="1"/>
      <w:numFmt w:val="bullet"/>
      <w:lvlText w:val="•"/>
      <w:lvlJc w:val="left"/>
      <w:pPr>
        <w:tabs>
          <w:tab w:val="num" w:pos="1440"/>
        </w:tabs>
        <w:ind w:left="1440" w:hanging="360"/>
      </w:pPr>
      <w:rPr>
        <w:rFonts w:ascii="Arial" w:hAnsi="Arial" w:hint="default"/>
      </w:rPr>
    </w:lvl>
    <w:lvl w:ilvl="2" w:tplc="7B586E3E" w:tentative="1">
      <w:start w:val="1"/>
      <w:numFmt w:val="bullet"/>
      <w:lvlText w:val="•"/>
      <w:lvlJc w:val="left"/>
      <w:pPr>
        <w:tabs>
          <w:tab w:val="num" w:pos="2160"/>
        </w:tabs>
        <w:ind w:left="2160" w:hanging="360"/>
      </w:pPr>
      <w:rPr>
        <w:rFonts w:ascii="Arial" w:hAnsi="Arial" w:hint="default"/>
      </w:rPr>
    </w:lvl>
    <w:lvl w:ilvl="3" w:tplc="A9385300" w:tentative="1">
      <w:start w:val="1"/>
      <w:numFmt w:val="bullet"/>
      <w:lvlText w:val="•"/>
      <w:lvlJc w:val="left"/>
      <w:pPr>
        <w:tabs>
          <w:tab w:val="num" w:pos="2880"/>
        </w:tabs>
        <w:ind w:left="2880" w:hanging="360"/>
      </w:pPr>
      <w:rPr>
        <w:rFonts w:ascii="Arial" w:hAnsi="Arial" w:hint="default"/>
      </w:rPr>
    </w:lvl>
    <w:lvl w:ilvl="4" w:tplc="7EAAD2E6" w:tentative="1">
      <w:start w:val="1"/>
      <w:numFmt w:val="bullet"/>
      <w:lvlText w:val="•"/>
      <w:lvlJc w:val="left"/>
      <w:pPr>
        <w:tabs>
          <w:tab w:val="num" w:pos="3600"/>
        </w:tabs>
        <w:ind w:left="3600" w:hanging="360"/>
      </w:pPr>
      <w:rPr>
        <w:rFonts w:ascii="Arial" w:hAnsi="Arial" w:hint="default"/>
      </w:rPr>
    </w:lvl>
    <w:lvl w:ilvl="5" w:tplc="75C68B1E" w:tentative="1">
      <w:start w:val="1"/>
      <w:numFmt w:val="bullet"/>
      <w:lvlText w:val="•"/>
      <w:lvlJc w:val="left"/>
      <w:pPr>
        <w:tabs>
          <w:tab w:val="num" w:pos="4320"/>
        </w:tabs>
        <w:ind w:left="4320" w:hanging="360"/>
      </w:pPr>
      <w:rPr>
        <w:rFonts w:ascii="Arial" w:hAnsi="Arial" w:hint="default"/>
      </w:rPr>
    </w:lvl>
    <w:lvl w:ilvl="6" w:tplc="6B226084" w:tentative="1">
      <w:start w:val="1"/>
      <w:numFmt w:val="bullet"/>
      <w:lvlText w:val="•"/>
      <w:lvlJc w:val="left"/>
      <w:pPr>
        <w:tabs>
          <w:tab w:val="num" w:pos="5040"/>
        </w:tabs>
        <w:ind w:left="5040" w:hanging="360"/>
      </w:pPr>
      <w:rPr>
        <w:rFonts w:ascii="Arial" w:hAnsi="Arial" w:hint="default"/>
      </w:rPr>
    </w:lvl>
    <w:lvl w:ilvl="7" w:tplc="0D40B222" w:tentative="1">
      <w:start w:val="1"/>
      <w:numFmt w:val="bullet"/>
      <w:lvlText w:val="•"/>
      <w:lvlJc w:val="left"/>
      <w:pPr>
        <w:tabs>
          <w:tab w:val="num" w:pos="5760"/>
        </w:tabs>
        <w:ind w:left="5760" w:hanging="360"/>
      </w:pPr>
      <w:rPr>
        <w:rFonts w:ascii="Arial" w:hAnsi="Arial" w:hint="default"/>
      </w:rPr>
    </w:lvl>
    <w:lvl w:ilvl="8" w:tplc="4FEC96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832FA3"/>
    <w:multiLevelType w:val="multilevel"/>
    <w:tmpl w:val="76E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00B53"/>
    <w:multiLevelType w:val="hybridMultilevel"/>
    <w:tmpl w:val="437ECF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76A21CB"/>
    <w:multiLevelType w:val="multilevel"/>
    <w:tmpl w:val="59C2ED78"/>
    <w:lvl w:ilvl="0">
      <w:start w:val="1"/>
      <w:numFmt w:val="decimal"/>
      <w:pStyle w:val="Heading1"/>
      <w:lvlText w:val="%1."/>
      <w:lvlJc w:val="left"/>
      <w:pPr>
        <w:ind w:left="567" w:hanging="567"/>
      </w:pPr>
      <w:rPr>
        <w:rFonts w:ascii="Calibri" w:hAnsi="Calibri" w:hint="default"/>
        <w:b/>
        <w:i w:val="0"/>
        <w:sz w:val="22"/>
      </w:rPr>
    </w:lvl>
    <w:lvl w:ilvl="1">
      <w:start w:val="1"/>
      <w:numFmt w:val="decimal"/>
      <w:pStyle w:val="Heading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pStyle w:val="Heading3"/>
      <w:lvlText w:val=""/>
      <w:lvlJc w:val="left"/>
      <w:pPr>
        <w:ind w:left="567" w:hanging="567"/>
      </w:pPr>
      <w:rPr>
        <w:rFonts w:hint="default"/>
      </w:rPr>
    </w:lvl>
    <w:lvl w:ilvl="3">
      <w:start w:val="1"/>
      <w:numFmt w:val="none"/>
      <w:pStyle w:val="Heading4"/>
      <w:lvlText w:val=""/>
      <w:lvlJc w:val="left"/>
      <w:pPr>
        <w:ind w:left="567" w:hanging="567"/>
      </w:pPr>
      <w:rPr>
        <w:rFonts w:hint="default"/>
      </w:rPr>
    </w:lvl>
    <w:lvl w:ilvl="4">
      <w:start w:val="1"/>
      <w:numFmt w:val="lowerLetter"/>
      <w:lvlRestart w:val="2"/>
      <w:pStyle w:val="Heading5"/>
      <w:lvlText w:val="%5."/>
      <w:lvlJc w:val="left"/>
      <w:pPr>
        <w:ind w:left="1021" w:hanging="45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Heading6"/>
      <w:lvlText w:val=""/>
      <w:lvlJc w:val="left"/>
      <w:pPr>
        <w:ind w:left="1418" w:hanging="397"/>
      </w:pPr>
      <w:rPr>
        <w:rFonts w:ascii="Symbol" w:hAnsi="Symbol" w:hint="default"/>
        <w:color w:val="auto"/>
      </w:rPr>
    </w:lvl>
    <w:lvl w:ilvl="6">
      <w:start w:val="1"/>
      <w:numFmt w:val="bullet"/>
      <w:lvlRestart w:val="0"/>
      <w:pStyle w:val="Heading7"/>
      <w:lvlText w:val=""/>
      <w:lvlJc w:val="left"/>
      <w:pPr>
        <w:ind w:left="1021" w:hanging="454"/>
      </w:pPr>
      <w:rPr>
        <w:rFonts w:ascii="Symbol" w:hAnsi="Symbol" w:hint="default"/>
        <w:color w:val="auto"/>
      </w:rPr>
    </w:lvl>
    <w:lvl w:ilvl="7">
      <w:start w:val="1"/>
      <w:numFmt w:val="bullet"/>
      <w:lvlRestart w:val="0"/>
      <w:pStyle w:val="Heading8"/>
      <w:lvlText w:val=""/>
      <w:lvlJc w:val="left"/>
      <w:pPr>
        <w:ind w:left="284" w:hanging="284"/>
      </w:pPr>
      <w:rPr>
        <w:rFonts w:ascii="Symbol" w:hAnsi="Symbol" w:hint="default"/>
        <w:color w:val="auto"/>
      </w:rPr>
    </w:lvl>
    <w:lvl w:ilvl="8">
      <w:start w:val="1"/>
      <w:numFmt w:val="lowerLetter"/>
      <w:pStyle w:val="Heading9"/>
      <w:lvlText w:val="%9."/>
      <w:lvlJc w:val="left"/>
      <w:pPr>
        <w:ind w:left="284" w:hanging="284"/>
      </w:pPr>
      <w:rPr>
        <w:rFonts w:ascii="Calibri" w:hAnsi="Calibri" w:hint="default"/>
        <w:b w:val="0"/>
        <w:i w:val="0"/>
        <w:color w:val="auto"/>
        <w:sz w:val="22"/>
      </w:rPr>
    </w:lvl>
  </w:abstractNum>
  <w:abstractNum w:abstractNumId="8" w15:restartNumberingAfterBreak="0">
    <w:nsid w:val="0D0D67AA"/>
    <w:multiLevelType w:val="multilevel"/>
    <w:tmpl w:val="E2EAB098"/>
    <w:lvl w:ilvl="0">
      <w:start w:val="1"/>
      <w:numFmt w:val="decimal"/>
      <w:pStyle w:val="Mainnumber"/>
      <w:lvlText w:val="%1."/>
      <w:lvlJc w:val="left"/>
      <w:pPr>
        <w:tabs>
          <w:tab w:val="num" w:pos="737"/>
        </w:tabs>
        <w:ind w:left="737" w:hanging="737"/>
      </w:pPr>
      <w:rPr>
        <w:rFonts w:ascii="Arial" w:hAnsi="Arial" w:hint="default"/>
        <w:b/>
        <w:i w:val="0"/>
        <w:strike w:val="0"/>
        <w:dstrike w:val="0"/>
        <w:vanish w:val="0"/>
        <w:color w:val="000000"/>
        <w:sz w:val="24"/>
        <w:vertAlign w:val="baseline"/>
      </w:rPr>
    </w:lvl>
    <w:lvl w:ilvl="1">
      <w:start w:val="1"/>
      <w:numFmt w:val="decimal"/>
      <w:pStyle w:val="Subnumber"/>
      <w:lvlText w:val="%1.%2"/>
      <w:lvlJc w:val="left"/>
      <w:pPr>
        <w:tabs>
          <w:tab w:val="num" w:pos="737"/>
        </w:tabs>
        <w:ind w:left="737" w:hanging="737"/>
      </w:pPr>
      <w:rPr>
        <w:rFonts w:ascii="Arial" w:hAnsi="Arial" w:hint="default"/>
        <w:b w:val="0"/>
        <w:i w:val="0"/>
        <w:caps w:val="0"/>
        <w:strike w:val="0"/>
        <w:dstrike w:val="0"/>
        <w:vanish w:val="0"/>
        <w:color w:val="auto"/>
        <w:sz w:val="24"/>
        <w:vertAlign w:val="baseline"/>
      </w:rPr>
    </w:lvl>
    <w:lvl w:ilvl="2">
      <w:start w:val="1"/>
      <w:numFmt w:val="bullet"/>
      <w:lvlText w:val=""/>
      <w:lvlJc w:val="left"/>
      <w:pPr>
        <w:ind w:left="1097" w:hanging="360"/>
      </w:pPr>
      <w:rPr>
        <w:rFonts w:ascii="Symbol" w:hAnsi="Symbol" w:hint="default"/>
      </w:rPr>
    </w:lvl>
    <w:lvl w:ilvl="3">
      <w:start w:val="1"/>
      <w:numFmt w:val="bullet"/>
      <w:lvlText w:val=""/>
      <w:lvlJc w:val="left"/>
      <w:pPr>
        <w:ind w:left="1664"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D441582"/>
    <w:multiLevelType w:val="multilevel"/>
    <w:tmpl w:val="B60A56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756EEC"/>
    <w:multiLevelType w:val="multilevel"/>
    <w:tmpl w:val="3BD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5392A"/>
    <w:multiLevelType w:val="multilevel"/>
    <w:tmpl w:val="9B7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80E91"/>
    <w:multiLevelType w:val="multilevel"/>
    <w:tmpl w:val="FCACD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313F51"/>
    <w:multiLevelType w:val="multilevel"/>
    <w:tmpl w:val="A04288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502DFA"/>
    <w:multiLevelType w:val="multilevel"/>
    <w:tmpl w:val="04FE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DC337F"/>
    <w:multiLevelType w:val="multilevel"/>
    <w:tmpl w:val="842E6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B55D0"/>
    <w:multiLevelType w:val="multilevel"/>
    <w:tmpl w:val="8B522A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A43D24"/>
    <w:multiLevelType w:val="multilevel"/>
    <w:tmpl w:val="7ECE3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D5EB2"/>
    <w:multiLevelType w:val="multilevel"/>
    <w:tmpl w:val="4B9E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B518F8"/>
    <w:multiLevelType w:val="multilevel"/>
    <w:tmpl w:val="27B6C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627D9A"/>
    <w:multiLevelType w:val="multilevel"/>
    <w:tmpl w:val="C0007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050CA"/>
    <w:multiLevelType w:val="multilevel"/>
    <w:tmpl w:val="4B28C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37C46"/>
    <w:multiLevelType w:val="multilevel"/>
    <w:tmpl w:val="AD5E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00652E"/>
    <w:multiLevelType w:val="multilevel"/>
    <w:tmpl w:val="B48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ED6C28"/>
    <w:multiLevelType w:val="multilevel"/>
    <w:tmpl w:val="35A8E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927810"/>
    <w:multiLevelType w:val="multilevel"/>
    <w:tmpl w:val="C11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154160"/>
    <w:multiLevelType w:val="multilevel"/>
    <w:tmpl w:val="A0DA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7069FA"/>
    <w:multiLevelType w:val="multilevel"/>
    <w:tmpl w:val="D6AE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9F4C32"/>
    <w:multiLevelType w:val="multilevel"/>
    <w:tmpl w:val="D7F8E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0A4B80"/>
    <w:multiLevelType w:val="multilevel"/>
    <w:tmpl w:val="883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708C7"/>
    <w:multiLevelType w:val="hybridMultilevel"/>
    <w:tmpl w:val="EA0EC38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6D064BFF"/>
    <w:multiLevelType w:val="multilevel"/>
    <w:tmpl w:val="5E36A8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0B0C7A"/>
    <w:multiLevelType w:val="multilevel"/>
    <w:tmpl w:val="94864A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52F31"/>
    <w:multiLevelType w:val="multilevel"/>
    <w:tmpl w:val="54D83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F27E2"/>
    <w:multiLevelType w:val="multilevel"/>
    <w:tmpl w:val="79BA7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D05962"/>
    <w:multiLevelType w:val="multilevel"/>
    <w:tmpl w:val="9348C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441CB4"/>
    <w:multiLevelType w:val="multilevel"/>
    <w:tmpl w:val="BBEC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88021E"/>
    <w:multiLevelType w:val="multilevel"/>
    <w:tmpl w:val="BFF8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3175A7"/>
    <w:multiLevelType w:val="multilevel"/>
    <w:tmpl w:val="A64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D30D72"/>
    <w:multiLevelType w:val="multilevel"/>
    <w:tmpl w:val="1CB23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3657E7"/>
    <w:multiLevelType w:val="multilevel"/>
    <w:tmpl w:val="133AD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E83065"/>
    <w:multiLevelType w:val="multilevel"/>
    <w:tmpl w:val="8CA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782D54"/>
    <w:multiLevelType w:val="multilevel"/>
    <w:tmpl w:val="404870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329743">
    <w:abstractNumId w:val="7"/>
  </w:num>
  <w:num w:numId="2" w16cid:durableId="224799587">
    <w:abstractNumId w:val="8"/>
  </w:num>
  <w:num w:numId="3" w16cid:durableId="1994867365">
    <w:abstractNumId w:val="4"/>
  </w:num>
  <w:num w:numId="4" w16cid:durableId="1739134467">
    <w:abstractNumId w:val="39"/>
  </w:num>
  <w:num w:numId="5" w16cid:durableId="1280181674">
    <w:abstractNumId w:val="17"/>
  </w:num>
  <w:num w:numId="6" w16cid:durableId="917864288">
    <w:abstractNumId w:val="33"/>
  </w:num>
  <w:num w:numId="7" w16cid:durableId="620111165">
    <w:abstractNumId w:val="29"/>
  </w:num>
  <w:num w:numId="8" w16cid:durableId="1673143460">
    <w:abstractNumId w:val="27"/>
  </w:num>
  <w:num w:numId="9" w16cid:durableId="1418096060">
    <w:abstractNumId w:val="25"/>
  </w:num>
  <w:num w:numId="10" w16cid:durableId="1763337567">
    <w:abstractNumId w:val="5"/>
  </w:num>
  <w:num w:numId="11" w16cid:durableId="1339040266">
    <w:abstractNumId w:val="21"/>
  </w:num>
  <w:num w:numId="12" w16cid:durableId="213470984">
    <w:abstractNumId w:val="3"/>
  </w:num>
  <w:num w:numId="13" w16cid:durableId="1409422410">
    <w:abstractNumId w:val="14"/>
  </w:num>
  <w:num w:numId="14" w16cid:durableId="124396529">
    <w:abstractNumId w:val="10"/>
  </w:num>
  <w:num w:numId="15" w16cid:durableId="605188124">
    <w:abstractNumId w:val="11"/>
  </w:num>
  <w:num w:numId="16" w16cid:durableId="1607926989">
    <w:abstractNumId w:val="15"/>
  </w:num>
  <w:num w:numId="17" w16cid:durableId="376051137">
    <w:abstractNumId w:val="32"/>
  </w:num>
  <w:num w:numId="18" w16cid:durableId="1772430321">
    <w:abstractNumId w:val="22"/>
  </w:num>
  <w:num w:numId="19" w16cid:durableId="14621581">
    <w:abstractNumId w:val="41"/>
  </w:num>
  <w:num w:numId="20" w16cid:durableId="1959024628">
    <w:abstractNumId w:val="18"/>
  </w:num>
  <w:num w:numId="21" w16cid:durableId="1543588888">
    <w:abstractNumId w:val="37"/>
  </w:num>
  <w:num w:numId="22" w16cid:durableId="1385566050">
    <w:abstractNumId w:val="38"/>
  </w:num>
  <w:num w:numId="23" w16cid:durableId="1846941015">
    <w:abstractNumId w:val="23"/>
  </w:num>
  <w:num w:numId="24" w16cid:durableId="212430982">
    <w:abstractNumId w:val="31"/>
  </w:num>
  <w:num w:numId="25" w16cid:durableId="420637893">
    <w:abstractNumId w:val="9"/>
  </w:num>
  <w:num w:numId="26" w16cid:durableId="1164473773">
    <w:abstractNumId w:val="42"/>
  </w:num>
  <w:num w:numId="27" w16cid:durableId="1073047369">
    <w:abstractNumId w:val="16"/>
  </w:num>
  <w:num w:numId="28" w16cid:durableId="2073693727">
    <w:abstractNumId w:val="13"/>
  </w:num>
  <w:num w:numId="29" w16cid:durableId="44916646">
    <w:abstractNumId w:val="8"/>
  </w:num>
  <w:num w:numId="30" w16cid:durableId="2137331478">
    <w:abstractNumId w:val="8"/>
    <w:lvlOverride w:ilvl="0">
      <w:startOverride w:val="2"/>
    </w:lvlOverride>
    <w:lvlOverride w:ilvl="1">
      <w:startOverride w:val="2"/>
    </w:lvlOverride>
  </w:num>
  <w:num w:numId="31" w16cid:durableId="1233347300">
    <w:abstractNumId w:val="1"/>
  </w:num>
  <w:num w:numId="32" w16cid:durableId="1948927800">
    <w:abstractNumId w:val="30"/>
  </w:num>
  <w:num w:numId="33" w16cid:durableId="29040491">
    <w:abstractNumId w:val="2"/>
  </w:num>
  <w:num w:numId="34" w16cid:durableId="1131484234">
    <w:abstractNumId w:val="6"/>
  </w:num>
  <w:num w:numId="35" w16cid:durableId="1072195185">
    <w:abstractNumId w:val="35"/>
  </w:num>
  <w:num w:numId="36" w16cid:durableId="1699313818">
    <w:abstractNumId w:val="20"/>
  </w:num>
  <w:num w:numId="37" w16cid:durableId="2000421571">
    <w:abstractNumId w:val="40"/>
  </w:num>
  <w:num w:numId="38" w16cid:durableId="1026246962">
    <w:abstractNumId w:val="36"/>
  </w:num>
  <w:num w:numId="39" w16cid:durableId="308092762">
    <w:abstractNumId w:val="19"/>
  </w:num>
  <w:num w:numId="40" w16cid:durableId="547185144">
    <w:abstractNumId w:val="34"/>
  </w:num>
  <w:num w:numId="41" w16cid:durableId="1784883286">
    <w:abstractNumId w:val="26"/>
  </w:num>
  <w:num w:numId="42" w16cid:durableId="1437359289">
    <w:abstractNumId w:val="12"/>
  </w:num>
  <w:num w:numId="43" w16cid:durableId="309405554">
    <w:abstractNumId w:val="0"/>
  </w:num>
  <w:num w:numId="44" w16cid:durableId="1342007771">
    <w:abstractNumId w:val="28"/>
  </w:num>
  <w:num w:numId="45" w16cid:durableId="129741750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6F"/>
    <w:rsid w:val="00001AD1"/>
    <w:rsid w:val="0000533F"/>
    <w:rsid w:val="000062E8"/>
    <w:rsid w:val="00007F65"/>
    <w:rsid w:val="00011A8E"/>
    <w:rsid w:val="000165AF"/>
    <w:rsid w:val="00016E28"/>
    <w:rsid w:val="00024738"/>
    <w:rsid w:val="00025556"/>
    <w:rsid w:val="00032968"/>
    <w:rsid w:val="00034287"/>
    <w:rsid w:val="00045A8E"/>
    <w:rsid w:val="00045B1E"/>
    <w:rsid w:val="000470B8"/>
    <w:rsid w:val="000532AC"/>
    <w:rsid w:val="0005676F"/>
    <w:rsid w:val="00056AB9"/>
    <w:rsid w:val="00060225"/>
    <w:rsid w:val="00066ED5"/>
    <w:rsid w:val="000749E8"/>
    <w:rsid w:val="000834B6"/>
    <w:rsid w:val="00087648"/>
    <w:rsid w:val="00094861"/>
    <w:rsid w:val="000967E6"/>
    <w:rsid w:val="00097238"/>
    <w:rsid w:val="000A49CA"/>
    <w:rsid w:val="000A58B0"/>
    <w:rsid w:val="000A6EFB"/>
    <w:rsid w:val="000B137E"/>
    <w:rsid w:val="000B420E"/>
    <w:rsid w:val="000B7BFF"/>
    <w:rsid w:val="000B7DA2"/>
    <w:rsid w:val="000C5326"/>
    <w:rsid w:val="000E044F"/>
    <w:rsid w:val="000E0FC2"/>
    <w:rsid w:val="000E1C4E"/>
    <w:rsid w:val="000E7F28"/>
    <w:rsid w:val="00102FC3"/>
    <w:rsid w:val="001037DD"/>
    <w:rsid w:val="00103F71"/>
    <w:rsid w:val="0010430A"/>
    <w:rsid w:val="001044AB"/>
    <w:rsid w:val="00105923"/>
    <w:rsid w:val="00106625"/>
    <w:rsid w:val="00106F57"/>
    <w:rsid w:val="00112A45"/>
    <w:rsid w:val="00115DD3"/>
    <w:rsid w:val="00134207"/>
    <w:rsid w:val="00137153"/>
    <w:rsid w:val="0014510A"/>
    <w:rsid w:val="00150D15"/>
    <w:rsid w:val="00150F3B"/>
    <w:rsid w:val="00152C70"/>
    <w:rsid w:val="001570E9"/>
    <w:rsid w:val="00157C50"/>
    <w:rsid w:val="00160752"/>
    <w:rsid w:val="0018500E"/>
    <w:rsid w:val="00186013"/>
    <w:rsid w:val="00197482"/>
    <w:rsid w:val="001A0C46"/>
    <w:rsid w:val="001A10A7"/>
    <w:rsid w:val="001A18F6"/>
    <w:rsid w:val="001A35B0"/>
    <w:rsid w:val="001A394F"/>
    <w:rsid w:val="001A5CCE"/>
    <w:rsid w:val="001B1242"/>
    <w:rsid w:val="001B286E"/>
    <w:rsid w:val="001B525A"/>
    <w:rsid w:val="001B6B95"/>
    <w:rsid w:val="001D5986"/>
    <w:rsid w:val="001F1A17"/>
    <w:rsid w:val="001F25DF"/>
    <w:rsid w:val="001F7D5F"/>
    <w:rsid w:val="002045FA"/>
    <w:rsid w:val="0020670B"/>
    <w:rsid w:val="00211E70"/>
    <w:rsid w:val="00214A7A"/>
    <w:rsid w:val="002171A6"/>
    <w:rsid w:val="00226A4B"/>
    <w:rsid w:val="00227D33"/>
    <w:rsid w:val="0023328E"/>
    <w:rsid w:val="00240EE6"/>
    <w:rsid w:val="002427E2"/>
    <w:rsid w:val="002576D7"/>
    <w:rsid w:val="00262E4A"/>
    <w:rsid w:val="00265808"/>
    <w:rsid w:val="0027597D"/>
    <w:rsid w:val="00276C25"/>
    <w:rsid w:val="00286201"/>
    <w:rsid w:val="002902ED"/>
    <w:rsid w:val="00291597"/>
    <w:rsid w:val="002931E8"/>
    <w:rsid w:val="00294700"/>
    <w:rsid w:val="00296B00"/>
    <w:rsid w:val="002A50F7"/>
    <w:rsid w:val="002A6C91"/>
    <w:rsid w:val="002B3049"/>
    <w:rsid w:val="002C24FE"/>
    <w:rsid w:val="002C2CDE"/>
    <w:rsid w:val="002C5E4F"/>
    <w:rsid w:val="002C7323"/>
    <w:rsid w:val="002D65F1"/>
    <w:rsid w:val="002E0671"/>
    <w:rsid w:val="002E3F39"/>
    <w:rsid w:val="002F70C9"/>
    <w:rsid w:val="00302734"/>
    <w:rsid w:val="00303A17"/>
    <w:rsid w:val="00307EE9"/>
    <w:rsid w:val="0031056A"/>
    <w:rsid w:val="003153DB"/>
    <w:rsid w:val="00322C8F"/>
    <w:rsid w:val="00324328"/>
    <w:rsid w:val="00324A52"/>
    <w:rsid w:val="00330488"/>
    <w:rsid w:val="00332CCC"/>
    <w:rsid w:val="00340284"/>
    <w:rsid w:val="00344675"/>
    <w:rsid w:val="003447B2"/>
    <w:rsid w:val="00346458"/>
    <w:rsid w:val="00354112"/>
    <w:rsid w:val="0035570C"/>
    <w:rsid w:val="003600AE"/>
    <w:rsid w:val="003662D2"/>
    <w:rsid w:val="0036746F"/>
    <w:rsid w:val="00371D1B"/>
    <w:rsid w:val="0037374B"/>
    <w:rsid w:val="00375C12"/>
    <w:rsid w:val="0038028D"/>
    <w:rsid w:val="00385A74"/>
    <w:rsid w:val="0039091A"/>
    <w:rsid w:val="00391D60"/>
    <w:rsid w:val="00393961"/>
    <w:rsid w:val="003A309A"/>
    <w:rsid w:val="003B1525"/>
    <w:rsid w:val="003B1A1D"/>
    <w:rsid w:val="003B1DAA"/>
    <w:rsid w:val="003B2246"/>
    <w:rsid w:val="003C00AC"/>
    <w:rsid w:val="003C2B83"/>
    <w:rsid w:val="003C30AA"/>
    <w:rsid w:val="003C40D2"/>
    <w:rsid w:val="003C4521"/>
    <w:rsid w:val="003C6556"/>
    <w:rsid w:val="003C6AD9"/>
    <w:rsid w:val="003C7B9E"/>
    <w:rsid w:val="003D06B6"/>
    <w:rsid w:val="003D2232"/>
    <w:rsid w:val="003D3E55"/>
    <w:rsid w:val="003E4419"/>
    <w:rsid w:val="003E49BA"/>
    <w:rsid w:val="003F0ACA"/>
    <w:rsid w:val="003F361A"/>
    <w:rsid w:val="003F5572"/>
    <w:rsid w:val="004065F9"/>
    <w:rsid w:val="00406B9D"/>
    <w:rsid w:val="004079E1"/>
    <w:rsid w:val="00412CDB"/>
    <w:rsid w:val="00417671"/>
    <w:rsid w:val="004211F0"/>
    <w:rsid w:val="00423491"/>
    <w:rsid w:val="00433D39"/>
    <w:rsid w:val="00434969"/>
    <w:rsid w:val="004422E4"/>
    <w:rsid w:val="00442881"/>
    <w:rsid w:val="0045032C"/>
    <w:rsid w:val="00451DFD"/>
    <w:rsid w:val="00457966"/>
    <w:rsid w:val="00460100"/>
    <w:rsid w:val="00463E6E"/>
    <w:rsid w:val="00470D9F"/>
    <w:rsid w:val="004773CE"/>
    <w:rsid w:val="00483AB2"/>
    <w:rsid w:val="004843CA"/>
    <w:rsid w:val="00487E3D"/>
    <w:rsid w:val="004901EE"/>
    <w:rsid w:val="00493247"/>
    <w:rsid w:val="004A7800"/>
    <w:rsid w:val="004A7B41"/>
    <w:rsid w:val="004B0FD0"/>
    <w:rsid w:val="004B6E32"/>
    <w:rsid w:val="004B703D"/>
    <w:rsid w:val="004C63A6"/>
    <w:rsid w:val="004D27BB"/>
    <w:rsid w:val="004D4C31"/>
    <w:rsid w:val="004D7C02"/>
    <w:rsid w:val="004E0627"/>
    <w:rsid w:val="004E4169"/>
    <w:rsid w:val="004E5A40"/>
    <w:rsid w:val="004F47B9"/>
    <w:rsid w:val="00511058"/>
    <w:rsid w:val="00511B22"/>
    <w:rsid w:val="00527EB6"/>
    <w:rsid w:val="00534EAC"/>
    <w:rsid w:val="0054356F"/>
    <w:rsid w:val="00544A23"/>
    <w:rsid w:val="00546575"/>
    <w:rsid w:val="005477CA"/>
    <w:rsid w:val="005558C9"/>
    <w:rsid w:val="00570721"/>
    <w:rsid w:val="00575643"/>
    <w:rsid w:val="00577ED4"/>
    <w:rsid w:val="00580851"/>
    <w:rsid w:val="005859DE"/>
    <w:rsid w:val="00585CF3"/>
    <w:rsid w:val="005914D8"/>
    <w:rsid w:val="005A33F1"/>
    <w:rsid w:val="005A4451"/>
    <w:rsid w:val="005A573F"/>
    <w:rsid w:val="005B16D2"/>
    <w:rsid w:val="005C70D7"/>
    <w:rsid w:val="005E088B"/>
    <w:rsid w:val="005E12C4"/>
    <w:rsid w:val="00600014"/>
    <w:rsid w:val="00602728"/>
    <w:rsid w:val="0060531A"/>
    <w:rsid w:val="006120CD"/>
    <w:rsid w:val="00617EAD"/>
    <w:rsid w:val="006219C5"/>
    <w:rsid w:val="00622EFE"/>
    <w:rsid w:val="00627846"/>
    <w:rsid w:val="006327DB"/>
    <w:rsid w:val="006345FE"/>
    <w:rsid w:val="006352D3"/>
    <w:rsid w:val="006377E7"/>
    <w:rsid w:val="00640427"/>
    <w:rsid w:val="00641AAD"/>
    <w:rsid w:val="00646A09"/>
    <w:rsid w:val="006537D5"/>
    <w:rsid w:val="006574D4"/>
    <w:rsid w:val="00660E8A"/>
    <w:rsid w:val="00661239"/>
    <w:rsid w:val="006618B1"/>
    <w:rsid w:val="00666F35"/>
    <w:rsid w:val="00671174"/>
    <w:rsid w:val="0067609D"/>
    <w:rsid w:val="006806BE"/>
    <w:rsid w:val="00682D9D"/>
    <w:rsid w:val="00693079"/>
    <w:rsid w:val="0069506D"/>
    <w:rsid w:val="006A535D"/>
    <w:rsid w:val="006A5E84"/>
    <w:rsid w:val="006B37FC"/>
    <w:rsid w:val="006B6C99"/>
    <w:rsid w:val="006C0A84"/>
    <w:rsid w:val="006C13E2"/>
    <w:rsid w:val="006C48D2"/>
    <w:rsid w:val="006C498D"/>
    <w:rsid w:val="006C56B6"/>
    <w:rsid w:val="006C6A41"/>
    <w:rsid w:val="006D002D"/>
    <w:rsid w:val="006D73DD"/>
    <w:rsid w:val="006E0C80"/>
    <w:rsid w:val="006E27E9"/>
    <w:rsid w:val="006E2F55"/>
    <w:rsid w:val="006E3336"/>
    <w:rsid w:val="006E4927"/>
    <w:rsid w:val="006E4E1B"/>
    <w:rsid w:val="006E7C7D"/>
    <w:rsid w:val="006F0D5C"/>
    <w:rsid w:val="006F3842"/>
    <w:rsid w:val="00700F20"/>
    <w:rsid w:val="007042FB"/>
    <w:rsid w:val="00710552"/>
    <w:rsid w:val="00714822"/>
    <w:rsid w:val="00721B38"/>
    <w:rsid w:val="00733D33"/>
    <w:rsid w:val="00740346"/>
    <w:rsid w:val="00740FBE"/>
    <w:rsid w:val="0074464E"/>
    <w:rsid w:val="00744CAB"/>
    <w:rsid w:val="00745368"/>
    <w:rsid w:val="0075185C"/>
    <w:rsid w:val="00753A49"/>
    <w:rsid w:val="00757B07"/>
    <w:rsid w:val="00766233"/>
    <w:rsid w:val="00780601"/>
    <w:rsid w:val="00780C21"/>
    <w:rsid w:val="00785FF1"/>
    <w:rsid w:val="007862F6"/>
    <w:rsid w:val="007A00B7"/>
    <w:rsid w:val="007A266A"/>
    <w:rsid w:val="007A5BB8"/>
    <w:rsid w:val="007A6938"/>
    <w:rsid w:val="007B63B4"/>
    <w:rsid w:val="007B64F8"/>
    <w:rsid w:val="007D74F8"/>
    <w:rsid w:val="007E161C"/>
    <w:rsid w:val="007E1BA3"/>
    <w:rsid w:val="007E456A"/>
    <w:rsid w:val="007E6275"/>
    <w:rsid w:val="007E6721"/>
    <w:rsid w:val="007F6D2B"/>
    <w:rsid w:val="00800579"/>
    <w:rsid w:val="00800C1A"/>
    <w:rsid w:val="00801CC4"/>
    <w:rsid w:val="00802ED0"/>
    <w:rsid w:val="00806157"/>
    <w:rsid w:val="00806FB8"/>
    <w:rsid w:val="0081089B"/>
    <w:rsid w:val="00813394"/>
    <w:rsid w:val="008217DD"/>
    <w:rsid w:val="0082353C"/>
    <w:rsid w:val="00830366"/>
    <w:rsid w:val="00840A0A"/>
    <w:rsid w:val="00844F32"/>
    <w:rsid w:val="00847DFF"/>
    <w:rsid w:val="008561E7"/>
    <w:rsid w:val="008633ED"/>
    <w:rsid w:val="008671B9"/>
    <w:rsid w:val="00877F5B"/>
    <w:rsid w:val="008842BF"/>
    <w:rsid w:val="00885C13"/>
    <w:rsid w:val="008925B7"/>
    <w:rsid w:val="008A3C85"/>
    <w:rsid w:val="008A498D"/>
    <w:rsid w:val="008A7752"/>
    <w:rsid w:val="008B2AAD"/>
    <w:rsid w:val="008B4059"/>
    <w:rsid w:val="008C0260"/>
    <w:rsid w:val="008C7049"/>
    <w:rsid w:val="008D0F98"/>
    <w:rsid w:val="008D2C54"/>
    <w:rsid w:val="008D4EAE"/>
    <w:rsid w:val="008D6B53"/>
    <w:rsid w:val="008D74C6"/>
    <w:rsid w:val="008E1FEA"/>
    <w:rsid w:val="008E242E"/>
    <w:rsid w:val="008E266D"/>
    <w:rsid w:val="008E27D1"/>
    <w:rsid w:val="008E4B9F"/>
    <w:rsid w:val="008F2609"/>
    <w:rsid w:val="008F658E"/>
    <w:rsid w:val="008F6D04"/>
    <w:rsid w:val="00904923"/>
    <w:rsid w:val="009122AD"/>
    <w:rsid w:val="00912F52"/>
    <w:rsid w:val="00927AE2"/>
    <w:rsid w:val="00930E0F"/>
    <w:rsid w:val="00935E43"/>
    <w:rsid w:val="00946F66"/>
    <w:rsid w:val="009473C8"/>
    <w:rsid w:val="00947E28"/>
    <w:rsid w:val="00950523"/>
    <w:rsid w:val="00953C4C"/>
    <w:rsid w:val="009575E7"/>
    <w:rsid w:val="00957ED4"/>
    <w:rsid w:val="0096689D"/>
    <w:rsid w:val="00970BAC"/>
    <w:rsid w:val="0097494E"/>
    <w:rsid w:val="00987096"/>
    <w:rsid w:val="00991436"/>
    <w:rsid w:val="00992922"/>
    <w:rsid w:val="00994799"/>
    <w:rsid w:val="009951D1"/>
    <w:rsid w:val="00995335"/>
    <w:rsid w:val="009A4586"/>
    <w:rsid w:val="009A54CC"/>
    <w:rsid w:val="009B03C7"/>
    <w:rsid w:val="009B343B"/>
    <w:rsid w:val="009B4050"/>
    <w:rsid w:val="009B7311"/>
    <w:rsid w:val="009C324B"/>
    <w:rsid w:val="009C381A"/>
    <w:rsid w:val="009C519F"/>
    <w:rsid w:val="009C6141"/>
    <w:rsid w:val="009C77DD"/>
    <w:rsid w:val="009D077C"/>
    <w:rsid w:val="009D106C"/>
    <w:rsid w:val="009D128D"/>
    <w:rsid w:val="009D1DA4"/>
    <w:rsid w:val="009D1E32"/>
    <w:rsid w:val="009D37C1"/>
    <w:rsid w:val="009D487F"/>
    <w:rsid w:val="009D6592"/>
    <w:rsid w:val="009D7B34"/>
    <w:rsid w:val="009E1924"/>
    <w:rsid w:val="00A0087A"/>
    <w:rsid w:val="00A02831"/>
    <w:rsid w:val="00A037D2"/>
    <w:rsid w:val="00A04003"/>
    <w:rsid w:val="00A07370"/>
    <w:rsid w:val="00A0763A"/>
    <w:rsid w:val="00A13262"/>
    <w:rsid w:val="00A13A9E"/>
    <w:rsid w:val="00A14E64"/>
    <w:rsid w:val="00A15713"/>
    <w:rsid w:val="00A21CB7"/>
    <w:rsid w:val="00A2648A"/>
    <w:rsid w:val="00A2686C"/>
    <w:rsid w:val="00A31EBE"/>
    <w:rsid w:val="00A33D5D"/>
    <w:rsid w:val="00A4166F"/>
    <w:rsid w:val="00A6059F"/>
    <w:rsid w:val="00A63FA6"/>
    <w:rsid w:val="00A77826"/>
    <w:rsid w:val="00A915B3"/>
    <w:rsid w:val="00AA27B7"/>
    <w:rsid w:val="00AA3668"/>
    <w:rsid w:val="00AA5C7E"/>
    <w:rsid w:val="00AB3B9B"/>
    <w:rsid w:val="00AB6AA1"/>
    <w:rsid w:val="00AC529F"/>
    <w:rsid w:val="00AE1EEA"/>
    <w:rsid w:val="00AE5EF6"/>
    <w:rsid w:val="00AE7432"/>
    <w:rsid w:val="00B052F7"/>
    <w:rsid w:val="00B10D0E"/>
    <w:rsid w:val="00B11319"/>
    <w:rsid w:val="00B22ADA"/>
    <w:rsid w:val="00B32483"/>
    <w:rsid w:val="00B3790C"/>
    <w:rsid w:val="00B43BED"/>
    <w:rsid w:val="00B455DE"/>
    <w:rsid w:val="00B5165A"/>
    <w:rsid w:val="00B56B56"/>
    <w:rsid w:val="00B66F08"/>
    <w:rsid w:val="00B745EB"/>
    <w:rsid w:val="00B77507"/>
    <w:rsid w:val="00B814BA"/>
    <w:rsid w:val="00B86C18"/>
    <w:rsid w:val="00B90EAA"/>
    <w:rsid w:val="00B90EBA"/>
    <w:rsid w:val="00B936C8"/>
    <w:rsid w:val="00B93856"/>
    <w:rsid w:val="00B93C27"/>
    <w:rsid w:val="00BA5076"/>
    <w:rsid w:val="00BB4D7A"/>
    <w:rsid w:val="00BB5644"/>
    <w:rsid w:val="00BC3F90"/>
    <w:rsid w:val="00BD0FDE"/>
    <w:rsid w:val="00BD2637"/>
    <w:rsid w:val="00BD70A7"/>
    <w:rsid w:val="00BE3A3D"/>
    <w:rsid w:val="00BE5182"/>
    <w:rsid w:val="00BE52DF"/>
    <w:rsid w:val="00BF104A"/>
    <w:rsid w:val="00BF296C"/>
    <w:rsid w:val="00C00BCE"/>
    <w:rsid w:val="00C02751"/>
    <w:rsid w:val="00C02BA8"/>
    <w:rsid w:val="00C06B48"/>
    <w:rsid w:val="00C116A2"/>
    <w:rsid w:val="00C13245"/>
    <w:rsid w:val="00C22084"/>
    <w:rsid w:val="00C25751"/>
    <w:rsid w:val="00C26D8A"/>
    <w:rsid w:val="00C277EB"/>
    <w:rsid w:val="00C30B53"/>
    <w:rsid w:val="00C32053"/>
    <w:rsid w:val="00C3262F"/>
    <w:rsid w:val="00C35E21"/>
    <w:rsid w:val="00C41FB9"/>
    <w:rsid w:val="00C43A1A"/>
    <w:rsid w:val="00C43D75"/>
    <w:rsid w:val="00C46BD4"/>
    <w:rsid w:val="00C547AE"/>
    <w:rsid w:val="00C637A2"/>
    <w:rsid w:val="00C6401A"/>
    <w:rsid w:val="00C652D8"/>
    <w:rsid w:val="00C673E1"/>
    <w:rsid w:val="00C726B8"/>
    <w:rsid w:val="00C83720"/>
    <w:rsid w:val="00C94487"/>
    <w:rsid w:val="00CA0C61"/>
    <w:rsid w:val="00CA5000"/>
    <w:rsid w:val="00CA5568"/>
    <w:rsid w:val="00CB03ED"/>
    <w:rsid w:val="00CB64CD"/>
    <w:rsid w:val="00CB66FC"/>
    <w:rsid w:val="00CB7113"/>
    <w:rsid w:val="00CC1281"/>
    <w:rsid w:val="00CD00D1"/>
    <w:rsid w:val="00CD1764"/>
    <w:rsid w:val="00CD2289"/>
    <w:rsid w:val="00CD6CCD"/>
    <w:rsid w:val="00CE56E2"/>
    <w:rsid w:val="00D000C9"/>
    <w:rsid w:val="00D03007"/>
    <w:rsid w:val="00D04B27"/>
    <w:rsid w:val="00D058DD"/>
    <w:rsid w:val="00D10EE1"/>
    <w:rsid w:val="00D15016"/>
    <w:rsid w:val="00D2138D"/>
    <w:rsid w:val="00D21AEF"/>
    <w:rsid w:val="00D247B0"/>
    <w:rsid w:val="00D272E5"/>
    <w:rsid w:val="00D31629"/>
    <w:rsid w:val="00D40863"/>
    <w:rsid w:val="00D456FC"/>
    <w:rsid w:val="00D45F33"/>
    <w:rsid w:val="00D53776"/>
    <w:rsid w:val="00D57C6A"/>
    <w:rsid w:val="00D57F2E"/>
    <w:rsid w:val="00D679FA"/>
    <w:rsid w:val="00D70E37"/>
    <w:rsid w:val="00D77937"/>
    <w:rsid w:val="00D80F58"/>
    <w:rsid w:val="00D84A89"/>
    <w:rsid w:val="00D866CA"/>
    <w:rsid w:val="00D86878"/>
    <w:rsid w:val="00D86FF7"/>
    <w:rsid w:val="00D905E7"/>
    <w:rsid w:val="00D91870"/>
    <w:rsid w:val="00D92563"/>
    <w:rsid w:val="00D9402B"/>
    <w:rsid w:val="00DB1901"/>
    <w:rsid w:val="00DB2204"/>
    <w:rsid w:val="00DB4694"/>
    <w:rsid w:val="00DB6B89"/>
    <w:rsid w:val="00DC2E6D"/>
    <w:rsid w:val="00DC34B4"/>
    <w:rsid w:val="00DC504F"/>
    <w:rsid w:val="00DC54ED"/>
    <w:rsid w:val="00DC56B4"/>
    <w:rsid w:val="00DD04B5"/>
    <w:rsid w:val="00DD13DD"/>
    <w:rsid w:val="00DD27E1"/>
    <w:rsid w:val="00DD62D0"/>
    <w:rsid w:val="00DD7B08"/>
    <w:rsid w:val="00DE0BF5"/>
    <w:rsid w:val="00DE1273"/>
    <w:rsid w:val="00DE5CF4"/>
    <w:rsid w:val="00DE71EE"/>
    <w:rsid w:val="00DF0E95"/>
    <w:rsid w:val="00DF4C5B"/>
    <w:rsid w:val="00DF72C2"/>
    <w:rsid w:val="00E04958"/>
    <w:rsid w:val="00E066F9"/>
    <w:rsid w:val="00E1268C"/>
    <w:rsid w:val="00E13116"/>
    <w:rsid w:val="00E17509"/>
    <w:rsid w:val="00E202C1"/>
    <w:rsid w:val="00E24249"/>
    <w:rsid w:val="00E271DE"/>
    <w:rsid w:val="00E315EC"/>
    <w:rsid w:val="00E35CCA"/>
    <w:rsid w:val="00E37174"/>
    <w:rsid w:val="00E40302"/>
    <w:rsid w:val="00E43505"/>
    <w:rsid w:val="00E514BE"/>
    <w:rsid w:val="00E522FE"/>
    <w:rsid w:val="00E61BCF"/>
    <w:rsid w:val="00E62092"/>
    <w:rsid w:val="00E62701"/>
    <w:rsid w:val="00E67148"/>
    <w:rsid w:val="00E75202"/>
    <w:rsid w:val="00E80634"/>
    <w:rsid w:val="00E807A3"/>
    <w:rsid w:val="00E86454"/>
    <w:rsid w:val="00E87BF2"/>
    <w:rsid w:val="00E93F72"/>
    <w:rsid w:val="00E9703F"/>
    <w:rsid w:val="00EA7498"/>
    <w:rsid w:val="00EB5FC6"/>
    <w:rsid w:val="00EC4E5E"/>
    <w:rsid w:val="00ED539B"/>
    <w:rsid w:val="00ED6D27"/>
    <w:rsid w:val="00ED745B"/>
    <w:rsid w:val="00EE62E4"/>
    <w:rsid w:val="00F07736"/>
    <w:rsid w:val="00F148C9"/>
    <w:rsid w:val="00F14D2A"/>
    <w:rsid w:val="00F16CFB"/>
    <w:rsid w:val="00F21CEF"/>
    <w:rsid w:val="00F22109"/>
    <w:rsid w:val="00F230CB"/>
    <w:rsid w:val="00F301C4"/>
    <w:rsid w:val="00F35A26"/>
    <w:rsid w:val="00F558AC"/>
    <w:rsid w:val="00F57A14"/>
    <w:rsid w:val="00F57FE1"/>
    <w:rsid w:val="00F65092"/>
    <w:rsid w:val="00F725CA"/>
    <w:rsid w:val="00F817E2"/>
    <w:rsid w:val="00F82DCA"/>
    <w:rsid w:val="00F839A9"/>
    <w:rsid w:val="00F84B90"/>
    <w:rsid w:val="00F8521F"/>
    <w:rsid w:val="00F86725"/>
    <w:rsid w:val="00F90C9C"/>
    <w:rsid w:val="00F96F1C"/>
    <w:rsid w:val="00FA3E29"/>
    <w:rsid w:val="00FA42AD"/>
    <w:rsid w:val="00FA5A06"/>
    <w:rsid w:val="00FB0CA1"/>
    <w:rsid w:val="00FB1436"/>
    <w:rsid w:val="00FB1A54"/>
    <w:rsid w:val="00FB7FCB"/>
    <w:rsid w:val="00FC5046"/>
    <w:rsid w:val="00FC5D15"/>
    <w:rsid w:val="00FC7005"/>
    <w:rsid w:val="00FD1EDD"/>
    <w:rsid w:val="00FD297F"/>
    <w:rsid w:val="00FD61C1"/>
    <w:rsid w:val="00FD7371"/>
    <w:rsid w:val="00FE23A3"/>
    <w:rsid w:val="00FE5ECA"/>
    <w:rsid w:val="00FE6490"/>
    <w:rsid w:val="00FF03E3"/>
    <w:rsid w:val="00FF37E6"/>
    <w:rsid w:val="00FF4ACD"/>
    <w:rsid w:val="00FF55EF"/>
    <w:rsid w:val="00FF5AA8"/>
    <w:rsid w:val="00FF6A18"/>
    <w:rsid w:val="014425D0"/>
    <w:rsid w:val="0183F3F0"/>
    <w:rsid w:val="01B0D543"/>
    <w:rsid w:val="01B63651"/>
    <w:rsid w:val="067F6D37"/>
    <w:rsid w:val="06897C80"/>
    <w:rsid w:val="08D109B0"/>
    <w:rsid w:val="0B170BD9"/>
    <w:rsid w:val="0C4F9894"/>
    <w:rsid w:val="0F4E8A31"/>
    <w:rsid w:val="10BDF5FA"/>
    <w:rsid w:val="112C4AC9"/>
    <w:rsid w:val="12BE20BA"/>
    <w:rsid w:val="13CADF5C"/>
    <w:rsid w:val="1563F006"/>
    <w:rsid w:val="16FF932C"/>
    <w:rsid w:val="18DCF861"/>
    <w:rsid w:val="19917D98"/>
    <w:rsid w:val="1991A043"/>
    <w:rsid w:val="19E50B37"/>
    <w:rsid w:val="1A0164A6"/>
    <w:rsid w:val="1A637D45"/>
    <w:rsid w:val="1A7AB9BE"/>
    <w:rsid w:val="1B9006B2"/>
    <w:rsid w:val="1BAD2FAE"/>
    <w:rsid w:val="1BFAC5FD"/>
    <w:rsid w:val="1C2473ED"/>
    <w:rsid w:val="1D3A574B"/>
    <w:rsid w:val="1F2526D1"/>
    <w:rsid w:val="1FF7788E"/>
    <w:rsid w:val="214B6273"/>
    <w:rsid w:val="22028A8D"/>
    <w:rsid w:val="23E2E564"/>
    <w:rsid w:val="2456386D"/>
    <w:rsid w:val="2508B6E8"/>
    <w:rsid w:val="262E8967"/>
    <w:rsid w:val="2784A1EB"/>
    <w:rsid w:val="2BD65977"/>
    <w:rsid w:val="2C458E81"/>
    <w:rsid w:val="2C62B5E6"/>
    <w:rsid w:val="2CEEBE0D"/>
    <w:rsid w:val="2F1796F4"/>
    <w:rsid w:val="2F71B4C7"/>
    <w:rsid w:val="2FCB4B7C"/>
    <w:rsid w:val="3136D806"/>
    <w:rsid w:val="3231C7CD"/>
    <w:rsid w:val="333BF485"/>
    <w:rsid w:val="33A8AB4F"/>
    <w:rsid w:val="358488BE"/>
    <w:rsid w:val="371B3C53"/>
    <w:rsid w:val="37366F9D"/>
    <w:rsid w:val="3EEFB8A1"/>
    <w:rsid w:val="400E7585"/>
    <w:rsid w:val="40ED7CFD"/>
    <w:rsid w:val="41047459"/>
    <w:rsid w:val="419C1282"/>
    <w:rsid w:val="442DDC6A"/>
    <w:rsid w:val="46A35820"/>
    <w:rsid w:val="47B92736"/>
    <w:rsid w:val="47ED4392"/>
    <w:rsid w:val="4940DDF1"/>
    <w:rsid w:val="495C0976"/>
    <w:rsid w:val="4AE878C6"/>
    <w:rsid w:val="4AF12810"/>
    <w:rsid w:val="4BB63587"/>
    <w:rsid w:val="4E619AF4"/>
    <w:rsid w:val="4E7F4DAD"/>
    <w:rsid w:val="50743710"/>
    <w:rsid w:val="5295FFC9"/>
    <w:rsid w:val="5434D6E6"/>
    <w:rsid w:val="55FD510E"/>
    <w:rsid w:val="5AF6AD97"/>
    <w:rsid w:val="5B2A6896"/>
    <w:rsid w:val="5C3DA421"/>
    <w:rsid w:val="5CA2C034"/>
    <w:rsid w:val="5E73D84F"/>
    <w:rsid w:val="6084BE46"/>
    <w:rsid w:val="61E10C5B"/>
    <w:rsid w:val="63491005"/>
    <w:rsid w:val="639B719F"/>
    <w:rsid w:val="63B9D34E"/>
    <w:rsid w:val="644D3490"/>
    <w:rsid w:val="64D48649"/>
    <w:rsid w:val="664E4167"/>
    <w:rsid w:val="674F86A3"/>
    <w:rsid w:val="6937A1A6"/>
    <w:rsid w:val="6A3731E2"/>
    <w:rsid w:val="6B9CE47A"/>
    <w:rsid w:val="6C3F0D4E"/>
    <w:rsid w:val="6D51D8A9"/>
    <w:rsid w:val="6D98292D"/>
    <w:rsid w:val="6EC8B0CE"/>
    <w:rsid w:val="6FAC5829"/>
    <w:rsid w:val="740B8689"/>
    <w:rsid w:val="7575FEA6"/>
    <w:rsid w:val="75B9E460"/>
    <w:rsid w:val="76BC7279"/>
    <w:rsid w:val="77D73C3C"/>
    <w:rsid w:val="79059E02"/>
    <w:rsid w:val="796F3FF9"/>
    <w:rsid w:val="7C8E1864"/>
    <w:rsid w:val="7D069F24"/>
    <w:rsid w:val="7DCC9B32"/>
    <w:rsid w:val="7F2F51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10830"/>
  <w15:docId w15:val="{B8B77C4B-F63F-43E4-AB25-FDAAD513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31629"/>
    <w:rPr>
      <w:rFonts w:ascii="Arial" w:hAnsi="Arial"/>
      <w:sz w:val="24"/>
      <w:szCs w:val="22"/>
      <w:lang w:eastAsia="en-US"/>
    </w:rPr>
  </w:style>
  <w:style w:type="paragraph" w:styleId="Heading1">
    <w:name w:val="heading 1"/>
    <w:aliases w:val="Heading (Board report)"/>
    <w:next w:val="Heading2"/>
    <w:link w:val="Heading1Char"/>
    <w:semiHidden/>
    <w:qFormat/>
    <w:rsid w:val="0031056A"/>
    <w:pPr>
      <w:keepNext/>
      <w:keepLines/>
      <w:numPr>
        <w:numId w:val="1"/>
      </w:numPr>
      <w:tabs>
        <w:tab w:val="left" w:pos="567"/>
      </w:tabs>
      <w:spacing w:before="560" w:after="220"/>
      <w:outlineLvl w:val="0"/>
    </w:pPr>
    <w:rPr>
      <w:rFonts w:ascii="Arial" w:eastAsia="Times New Roman" w:hAnsi="Arial"/>
      <w:b/>
      <w:bCs/>
      <w:color w:val="000000"/>
      <w:sz w:val="24"/>
      <w:szCs w:val="28"/>
      <w:lang w:eastAsia="en-US"/>
    </w:rPr>
  </w:style>
  <w:style w:type="paragraph" w:styleId="Heading2">
    <w:name w:val="heading 2"/>
    <w:aliases w:val="Text (Board report)"/>
    <w:basedOn w:val="Heading1"/>
    <w:link w:val="Heading2Char"/>
    <w:semiHidden/>
    <w:qFormat/>
    <w:rsid w:val="0031056A"/>
    <w:pPr>
      <w:numPr>
        <w:ilvl w:val="1"/>
      </w:numPr>
      <w:spacing w:before="220"/>
      <w:outlineLvl w:val="1"/>
    </w:pPr>
    <w:rPr>
      <w:b w:val="0"/>
      <w:bCs w:val="0"/>
      <w:szCs w:val="26"/>
    </w:rPr>
  </w:style>
  <w:style w:type="paragraph" w:styleId="Heading3">
    <w:name w:val="heading 3"/>
    <w:aliases w:val="Sub-heading (Board report)"/>
    <w:basedOn w:val="Heading2"/>
    <w:next w:val="Heading2"/>
    <w:link w:val="Heading3Char"/>
    <w:semiHidden/>
    <w:qFormat/>
    <w:rsid w:val="005558C9"/>
    <w:pPr>
      <w:numPr>
        <w:ilvl w:val="2"/>
      </w:numPr>
      <w:outlineLvl w:val="2"/>
    </w:pPr>
    <w:rPr>
      <w:b/>
      <w:bCs/>
    </w:rPr>
  </w:style>
  <w:style w:type="paragraph" w:styleId="Heading4">
    <w:name w:val="heading 4"/>
    <w:aliases w:val="Sub-sub-heading (Board report)"/>
    <w:basedOn w:val="Heading3"/>
    <w:next w:val="Heading2"/>
    <w:link w:val="Heading4Char"/>
    <w:semiHidden/>
    <w:qFormat/>
    <w:rsid w:val="005558C9"/>
    <w:pPr>
      <w:numPr>
        <w:ilvl w:val="3"/>
      </w:numPr>
      <w:outlineLvl w:val="3"/>
    </w:pPr>
    <w:rPr>
      <w:b w:val="0"/>
      <w:bCs w:val="0"/>
      <w:i/>
      <w:iCs/>
    </w:rPr>
  </w:style>
  <w:style w:type="paragraph" w:styleId="Heading5">
    <w:name w:val="heading 5"/>
    <w:aliases w:val="abc bullets (Board report)"/>
    <w:basedOn w:val="Heading4"/>
    <w:link w:val="Heading5Char"/>
    <w:semiHidden/>
    <w:qFormat/>
    <w:rsid w:val="005558C9"/>
    <w:pPr>
      <w:numPr>
        <w:ilvl w:val="4"/>
      </w:numPr>
      <w:tabs>
        <w:tab w:val="left" w:pos="1021"/>
        <w:tab w:val="left" w:pos="1418"/>
      </w:tabs>
      <w:spacing w:before="0" w:after="0"/>
      <w:outlineLvl w:val="4"/>
    </w:pPr>
    <w:rPr>
      <w:i w:val="0"/>
    </w:rPr>
  </w:style>
  <w:style w:type="paragraph" w:styleId="Heading6">
    <w:name w:val="heading 6"/>
    <w:aliases w:val="sub-bullets (Board report)"/>
    <w:basedOn w:val="Heading5"/>
    <w:link w:val="Heading6Char"/>
    <w:semiHidden/>
    <w:qFormat/>
    <w:rsid w:val="005558C9"/>
    <w:pPr>
      <w:numPr>
        <w:ilvl w:val="5"/>
      </w:numPr>
      <w:outlineLvl w:val="5"/>
    </w:pPr>
    <w:rPr>
      <w:iCs w:val="0"/>
    </w:rPr>
  </w:style>
  <w:style w:type="paragraph" w:styleId="Heading7">
    <w:name w:val="heading 7"/>
    <w:aliases w:val="Bullets (Board report)"/>
    <w:basedOn w:val="Heading6"/>
    <w:link w:val="Heading7Char"/>
    <w:semiHidden/>
    <w:qFormat/>
    <w:rsid w:val="00AA3668"/>
    <w:pPr>
      <w:numPr>
        <w:ilvl w:val="6"/>
      </w:numPr>
      <w:outlineLvl w:val="6"/>
    </w:pPr>
    <w:rPr>
      <w:iCs/>
    </w:rPr>
  </w:style>
  <w:style w:type="paragraph" w:styleId="Heading8">
    <w:name w:val="heading 8"/>
    <w:aliases w:val="1st page bullets (Board report)"/>
    <w:basedOn w:val="Heading9"/>
    <w:link w:val="Heading8Char"/>
    <w:semiHidden/>
    <w:qFormat/>
    <w:rsid w:val="00CB7113"/>
    <w:pPr>
      <w:numPr>
        <w:ilvl w:val="7"/>
      </w:numPr>
      <w:outlineLvl w:val="7"/>
    </w:pPr>
  </w:style>
  <w:style w:type="paragraph" w:styleId="Heading9">
    <w:name w:val="heading 9"/>
    <w:aliases w:val="1st page abc bullets (Board report)"/>
    <w:basedOn w:val="Normal"/>
    <w:link w:val="Heading9Char"/>
    <w:semiHidden/>
    <w:qFormat/>
    <w:rsid w:val="00346458"/>
    <w:pPr>
      <w:numPr>
        <w:ilvl w:val="8"/>
        <w:numId w:val="1"/>
      </w:numPr>
      <w:outlineLvl w:val="8"/>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Board report) Char"/>
    <w:basedOn w:val="DefaultParagraphFont"/>
    <w:link w:val="Heading1"/>
    <w:semiHidden/>
    <w:rsid w:val="00D31629"/>
    <w:rPr>
      <w:rFonts w:ascii="Arial" w:eastAsia="Times New Roman" w:hAnsi="Arial"/>
      <w:b/>
      <w:bCs/>
      <w:color w:val="000000"/>
      <w:sz w:val="24"/>
      <w:szCs w:val="28"/>
      <w:lang w:eastAsia="en-US"/>
    </w:rPr>
  </w:style>
  <w:style w:type="character" w:customStyle="1" w:styleId="Heading2Char">
    <w:name w:val="Heading 2 Char"/>
    <w:aliases w:val="Text (Board report) Char"/>
    <w:basedOn w:val="DefaultParagraphFont"/>
    <w:link w:val="Heading2"/>
    <w:semiHidden/>
    <w:rsid w:val="00D31629"/>
    <w:rPr>
      <w:rFonts w:ascii="Arial" w:eastAsia="Times New Roman" w:hAnsi="Arial"/>
      <w:color w:val="000000"/>
      <w:sz w:val="24"/>
      <w:szCs w:val="26"/>
      <w:lang w:eastAsia="en-US"/>
    </w:rPr>
  </w:style>
  <w:style w:type="paragraph" w:styleId="Title">
    <w:name w:val="Title"/>
    <w:basedOn w:val="Heading2"/>
    <w:next w:val="Normal"/>
    <w:link w:val="TitleChar"/>
    <w:uiPriority w:val="10"/>
    <w:semiHidden/>
    <w:unhideWhenUsed/>
    <w:qFormat/>
    <w:locked/>
    <w:rsid w:val="006A535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DC504F"/>
    <w:rPr>
      <w:rFonts w:ascii="Cambria" w:eastAsia="Times New Roman" w:hAnsi="Cambria"/>
      <w:color w:val="17365D"/>
      <w:spacing w:val="5"/>
      <w:kern w:val="28"/>
      <w:sz w:val="52"/>
      <w:szCs w:val="52"/>
      <w:lang w:eastAsia="en-US"/>
    </w:rPr>
  </w:style>
  <w:style w:type="paragraph" w:styleId="Subtitle">
    <w:name w:val="Subtitle"/>
    <w:basedOn w:val="Title"/>
    <w:next w:val="Normal"/>
    <w:link w:val="SubtitleChar"/>
    <w:uiPriority w:val="11"/>
    <w:semiHidden/>
    <w:unhideWhenUsed/>
    <w:qFormat/>
    <w:locked/>
    <w:rsid w:val="006A535D"/>
    <w:pPr>
      <w:numPr>
        <w:numId w:val="0"/>
      </w:numPr>
    </w:pPr>
    <w:rPr>
      <w:i/>
      <w:iCs/>
      <w:color w:val="4F81BD"/>
      <w:spacing w:val="15"/>
      <w:sz w:val="24"/>
      <w:szCs w:val="24"/>
    </w:rPr>
  </w:style>
  <w:style w:type="character" w:customStyle="1" w:styleId="SubtitleChar">
    <w:name w:val="Subtitle Char"/>
    <w:basedOn w:val="DefaultParagraphFont"/>
    <w:link w:val="Subtitle"/>
    <w:uiPriority w:val="11"/>
    <w:semiHidden/>
    <w:rsid w:val="00DC504F"/>
    <w:rPr>
      <w:rFonts w:ascii="Cambria" w:eastAsia="Times New Roman" w:hAnsi="Cambria" w:cs="Times New Roman"/>
      <w:i/>
      <w:iCs/>
      <w:color w:val="4F81BD"/>
      <w:spacing w:val="15"/>
      <w:kern w:val="28"/>
      <w:sz w:val="24"/>
      <w:szCs w:val="24"/>
    </w:rPr>
  </w:style>
  <w:style w:type="character" w:styleId="SubtleEmphasis">
    <w:name w:val="Subtle Emphasis"/>
    <w:basedOn w:val="SubtitleChar"/>
    <w:uiPriority w:val="19"/>
    <w:semiHidden/>
    <w:unhideWhenUsed/>
    <w:qFormat/>
    <w:locked/>
    <w:rsid w:val="006A535D"/>
    <w:rPr>
      <w:rFonts w:ascii="Cambria" w:eastAsia="Times New Roman" w:hAnsi="Cambria" w:cs="Times New Roman"/>
      <w:i/>
      <w:iCs/>
      <w:color w:val="808080"/>
      <w:spacing w:val="15"/>
      <w:kern w:val="28"/>
      <w:sz w:val="24"/>
      <w:szCs w:val="24"/>
    </w:rPr>
  </w:style>
  <w:style w:type="character" w:styleId="Emphasis">
    <w:name w:val="Emphasis"/>
    <w:basedOn w:val="SubtleEmphasis"/>
    <w:uiPriority w:val="20"/>
    <w:semiHidden/>
    <w:unhideWhenUsed/>
    <w:qFormat/>
    <w:locked/>
    <w:rsid w:val="006A535D"/>
    <w:rPr>
      <w:rFonts w:ascii="Cambria" w:eastAsia="Times New Roman" w:hAnsi="Cambria" w:cs="Times New Roman"/>
      <w:i/>
      <w:iCs/>
      <w:color w:val="808080"/>
      <w:spacing w:val="15"/>
      <w:kern w:val="28"/>
      <w:sz w:val="24"/>
      <w:szCs w:val="24"/>
    </w:rPr>
  </w:style>
  <w:style w:type="character" w:styleId="IntenseEmphasis">
    <w:name w:val="Intense Emphasis"/>
    <w:basedOn w:val="Emphasis"/>
    <w:uiPriority w:val="21"/>
    <w:semiHidden/>
    <w:unhideWhenUsed/>
    <w:qFormat/>
    <w:locked/>
    <w:rsid w:val="006A535D"/>
    <w:rPr>
      <w:rFonts w:ascii="Cambria" w:eastAsia="Times New Roman" w:hAnsi="Cambria" w:cs="Times New Roman"/>
      <w:b/>
      <w:bCs/>
      <w:i/>
      <w:iCs/>
      <w:color w:val="4F81BD"/>
      <w:spacing w:val="15"/>
      <w:kern w:val="28"/>
      <w:sz w:val="24"/>
      <w:szCs w:val="24"/>
    </w:rPr>
  </w:style>
  <w:style w:type="character" w:styleId="Strong">
    <w:name w:val="Strong"/>
    <w:basedOn w:val="IntenseEmphasis"/>
    <w:uiPriority w:val="22"/>
    <w:semiHidden/>
    <w:unhideWhenUsed/>
    <w:qFormat/>
    <w:locked/>
    <w:rsid w:val="006A535D"/>
    <w:rPr>
      <w:rFonts w:ascii="Cambria" w:eastAsia="Times New Roman" w:hAnsi="Cambria" w:cs="Times New Roman"/>
      <w:b/>
      <w:bCs/>
      <w:i/>
      <w:iCs/>
      <w:color w:val="4F81BD"/>
      <w:spacing w:val="15"/>
      <w:kern w:val="28"/>
      <w:sz w:val="24"/>
      <w:szCs w:val="24"/>
    </w:rPr>
  </w:style>
  <w:style w:type="numbering" w:customStyle="1" w:styleId="Boardreportliststyles">
    <w:name w:val="Board report list styles"/>
    <w:uiPriority w:val="99"/>
    <w:locked/>
    <w:rsid w:val="005558C9"/>
  </w:style>
  <w:style w:type="character" w:customStyle="1" w:styleId="Heading3Char">
    <w:name w:val="Heading 3 Char"/>
    <w:aliases w:val="Sub-heading (Board report) Char"/>
    <w:basedOn w:val="DefaultParagraphFont"/>
    <w:link w:val="Heading3"/>
    <w:semiHidden/>
    <w:rsid w:val="00D31629"/>
    <w:rPr>
      <w:rFonts w:ascii="Arial" w:eastAsia="Times New Roman" w:hAnsi="Arial"/>
      <w:b/>
      <w:bCs/>
      <w:color w:val="000000"/>
      <w:sz w:val="24"/>
      <w:szCs w:val="26"/>
      <w:lang w:eastAsia="en-US"/>
    </w:rPr>
  </w:style>
  <w:style w:type="character" w:customStyle="1" w:styleId="Heading4Char">
    <w:name w:val="Heading 4 Char"/>
    <w:aliases w:val="Sub-sub-heading (Board report) Char"/>
    <w:basedOn w:val="DefaultParagraphFont"/>
    <w:link w:val="Heading4"/>
    <w:semiHidden/>
    <w:rsid w:val="00D31629"/>
    <w:rPr>
      <w:rFonts w:ascii="Arial" w:eastAsia="Times New Roman" w:hAnsi="Arial"/>
      <w:i/>
      <w:iCs/>
      <w:color w:val="000000"/>
      <w:sz w:val="24"/>
      <w:szCs w:val="26"/>
      <w:lang w:eastAsia="en-US"/>
    </w:rPr>
  </w:style>
  <w:style w:type="character" w:customStyle="1" w:styleId="Heading5Char">
    <w:name w:val="Heading 5 Char"/>
    <w:aliases w:val="abc bullets (Board report) Char"/>
    <w:basedOn w:val="DefaultParagraphFont"/>
    <w:link w:val="Heading5"/>
    <w:semiHidden/>
    <w:rsid w:val="00D31629"/>
    <w:rPr>
      <w:rFonts w:ascii="Arial" w:eastAsia="Times New Roman" w:hAnsi="Arial"/>
      <w:iCs/>
      <w:color w:val="000000"/>
      <w:sz w:val="24"/>
      <w:szCs w:val="26"/>
      <w:lang w:eastAsia="en-US"/>
    </w:rPr>
  </w:style>
  <w:style w:type="character" w:customStyle="1" w:styleId="Heading6Char">
    <w:name w:val="Heading 6 Char"/>
    <w:aliases w:val="sub-bullets (Board report) Char"/>
    <w:basedOn w:val="DefaultParagraphFont"/>
    <w:link w:val="Heading6"/>
    <w:semiHidden/>
    <w:rsid w:val="00D31629"/>
    <w:rPr>
      <w:rFonts w:ascii="Arial" w:eastAsia="Times New Roman" w:hAnsi="Arial"/>
      <w:color w:val="000000"/>
      <w:sz w:val="24"/>
      <w:szCs w:val="26"/>
      <w:lang w:eastAsia="en-US"/>
    </w:rPr>
  </w:style>
  <w:style w:type="character" w:customStyle="1" w:styleId="Heading7Char">
    <w:name w:val="Heading 7 Char"/>
    <w:aliases w:val="Bullets (Board report) Char"/>
    <w:basedOn w:val="DefaultParagraphFont"/>
    <w:link w:val="Heading7"/>
    <w:semiHidden/>
    <w:rsid w:val="00D31629"/>
    <w:rPr>
      <w:rFonts w:ascii="Arial" w:eastAsia="Times New Roman" w:hAnsi="Arial"/>
      <w:iCs/>
      <w:color w:val="000000"/>
      <w:sz w:val="24"/>
      <w:szCs w:val="26"/>
      <w:lang w:eastAsia="en-US"/>
    </w:rPr>
  </w:style>
  <w:style w:type="character" w:customStyle="1" w:styleId="Heading8Char">
    <w:name w:val="Heading 8 Char"/>
    <w:aliases w:val="1st page bullets (Board report) Char"/>
    <w:basedOn w:val="DefaultParagraphFont"/>
    <w:link w:val="Heading8"/>
    <w:semiHidden/>
    <w:rsid w:val="00D31629"/>
    <w:rPr>
      <w:rFonts w:ascii="Arial" w:hAnsi="Arial"/>
      <w:sz w:val="24"/>
      <w:szCs w:val="22"/>
    </w:rPr>
  </w:style>
  <w:style w:type="character" w:customStyle="1" w:styleId="Heading9Char">
    <w:name w:val="Heading 9 Char"/>
    <w:aliases w:val="1st page abc bullets (Board report) Char"/>
    <w:basedOn w:val="DefaultParagraphFont"/>
    <w:link w:val="Heading9"/>
    <w:semiHidden/>
    <w:rsid w:val="00D31629"/>
    <w:rPr>
      <w:rFonts w:ascii="Arial" w:hAnsi="Arial"/>
      <w:sz w:val="24"/>
      <w:szCs w:val="22"/>
    </w:rPr>
  </w:style>
  <w:style w:type="table" w:styleId="TableGrid">
    <w:name w:val="Table Grid"/>
    <w:basedOn w:val="TableNormal"/>
    <w:locked/>
    <w:rsid w:val="00D8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D866CA"/>
    <w:rPr>
      <w:color w:val="808080"/>
    </w:rPr>
  </w:style>
  <w:style w:type="paragraph" w:styleId="Footer">
    <w:name w:val="footer"/>
    <w:basedOn w:val="Normal"/>
    <w:link w:val="FooterChar"/>
    <w:uiPriority w:val="99"/>
    <w:unhideWhenUsed/>
    <w:locked/>
    <w:rsid w:val="00D866CA"/>
    <w:pPr>
      <w:tabs>
        <w:tab w:val="center" w:pos="4513"/>
        <w:tab w:val="right" w:pos="9026"/>
      </w:tabs>
    </w:pPr>
  </w:style>
  <w:style w:type="character" w:customStyle="1" w:styleId="FooterChar">
    <w:name w:val="Footer Char"/>
    <w:basedOn w:val="DefaultParagraphFont"/>
    <w:link w:val="Footer"/>
    <w:uiPriority w:val="99"/>
    <w:rsid w:val="00D866CA"/>
    <w:rPr>
      <w:rFonts w:ascii="Calibri" w:eastAsia="Calibri" w:hAnsi="Calibri" w:cs="Times New Roman"/>
    </w:rPr>
  </w:style>
  <w:style w:type="paragraph" w:styleId="BalloonText">
    <w:name w:val="Balloon Text"/>
    <w:basedOn w:val="Normal"/>
    <w:link w:val="BalloonTextChar"/>
    <w:uiPriority w:val="99"/>
    <w:semiHidden/>
    <w:unhideWhenUsed/>
    <w:locked/>
    <w:rsid w:val="00D866CA"/>
    <w:rPr>
      <w:rFonts w:ascii="Tahoma" w:hAnsi="Tahoma" w:cs="Tahoma"/>
      <w:sz w:val="16"/>
      <w:szCs w:val="16"/>
    </w:rPr>
  </w:style>
  <w:style w:type="character" w:customStyle="1" w:styleId="BalloonTextChar">
    <w:name w:val="Balloon Text Char"/>
    <w:basedOn w:val="DefaultParagraphFont"/>
    <w:link w:val="BalloonText"/>
    <w:uiPriority w:val="99"/>
    <w:semiHidden/>
    <w:rsid w:val="00D866CA"/>
    <w:rPr>
      <w:rFonts w:ascii="Tahoma" w:eastAsia="Calibri" w:hAnsi="Tahoma" w:cs="Tahoma"/>
      <w:sz w:val="16"/>
      <w:szCs w:val="16"/>
    </w:rPr>
  </w:style>
  <w:style w:type="paragraph" w:styleId="Header">
    <w:name w:val="header"/>
    <w:basedOn w:val="Normal"/>
    <w:link w:val="HeaderChar"/>
    <w:uiPriority w:val="99"/>
    <w:unhideWhenUsed/>
    <w:locked/>
    <w:rsid w:val="00C726B8"/>
    <w:pPr>
      <w:tabs>
        <w:tab w:val="center" w:pos="4513"/>
        <w:tab w:val="right" w:pos="9026"/>
      </w:tabs>
    </w:pPr>
  </w:style>
  <w:style w:type="character" w:customStyle="1" w:styleId="HeaderChar">
    <w:name w:val="Header Char"/>
    <w:basedOn w:val="DefaultParagraphFont"/>
    <w:link w:val="Header"/>
    <w:uiPriority w:val="99"/>
    <w:rsid w:val="00C726B8"/>
    <w:rPr>
      <w:rFonts w:ascii="Calibri" w:eastAsia="Calibri" w:hAnsi="Calibri" w:cs="Times New Roman"/>
    </w:rPr>
  </w:style>
  <w:style w:type="paragraph" w:customStyle="1" w:styleId="Mainnumber">
    <w:name w:val="Main number"/>
    <w:basedOn w:val="Normal"/>
    <w:link w:val="MainnumberChar"/>
    <w:qFormat/>
    <w:rsid w:val="00E522FE"/>
    <w:pPr>
      <w:numPr>
        <w:numId w:val="29"/>
      </w:numPr>
      <w:spacing w:after="120"/>
      <w:outlineLvl w:val="0"/>
    </w:pPr>
    <w:rPr>
      <w:rFonts w:eastAsia="Times New Roman" w:cs="Arial"/>
      <w:b/>
      <w:bCs/>
      <w:szCs w:val="24"/>
    </w:rPr>
  </w:style>
  <w:style w:type="paragraph" w:customStyle="1" w:styleId="Subnumber">
    <w:name w:val="Sub number"/>
    <w:basedOn w:val="Normal"/>
    <w:link w:val="SubnumberChar"/>
    <w:qFormat/>
    <w:rsid w:val="00D31629"/>
    <w:pPr>
      <w:numPr>
        <w:ilvl w:val="1"/>
        <w:numId w:val="29"/>
      </w:numPr>
      <w:spacing w:after="120"/>
    </w:pPr>
    <w:rPr>
      <w:rFonts w:eastAsia="Times New Roman" w:cs="Arial"/>
      <w:szCs w:val="24"/>
    </w:rPr>
  </w:style>
  <w:style w:type="character" w:customStyle="1" w:styleId="MainnumberChar">
    <w:name w:val="Main number Char"/>
    <w:basedOn w:val="DefaultParagraphFont"/>
    <w:link w:val="Mainnumber"/>
    <w:rsid w:val="00E522FE"/>
    <w:rPr>
      <w:rFonts w:ascii="Arial" w:eastAsia="Times New Roman" w:hAnsi="Arial" w:cs="Arial"/>
      <w:b/>
      <w:bCs/>
      <w:sz w:val="24"/>
      <w:szCs w:val="24"/>
      <w:lang w:eastAsia="en-US"/>
    </w:rPr>
  </w:style>
  <w:style w:type="character" w:customStyle="1" w:styleId="SubnumberChar">
    <w:name w:val="Sub number Char"/>
    <w:basedOn w:val="DefaultParagraphFont"/>
    <w:link w:val="Subnumber"/>
    <w:rsid w:val="00D31629"/>
    <w:rPr>
      <w:rFonts w:ascii="Arial" w:eastAsia="Times New Roman" w:hAnsi="Arial" w:cs="Arial"/>
      <w:sz w:val="24"/>
      <w:szCs w:val="24"/>
      <w:lang w:eastAsia="en-US"/>
    </w:rPr>
  </w:style>
  <w:style w:type="character" w:styleId="CommentReference">
    <w:name w:val="annotation reference"/>
    <w:basedOn w:val="DefaultParagraphFont"/>
    <w:uiPriority w:val="99"/>
    <w:semiHidden/>
    <w:unhideWhenUsed/>
    <w:locked/>
    <w:rsid w:val="00032968"/>
    <w:rPr>
      <w:sz w:val="16"/>
      <w:szCs w:val="16"/>
    </w:rPr>
  </w:style>
  <w:style w:type="paragraph" w:styleId="CommentText">
    <w:name w:val="annotation text"/>
    <w:basedOn w:val="Normal"/>
    <w:link w:val="CommentTextChar"/>
    <w:uiPriority w:val="99"/>
    <w:unhideWhenUsed/>
    <w:locked/>
    <w:rsid w:val="00032968"/>
    <w:rPr>
      <w:sz w:val="20"/>
      <w:szCs w:val="20"/>
    </w:rPr>
  </w:style>
  <w:style w:type="character" w:customStyle="1" w:styleId="CommentTextChar">
    <w:name w:val="Comment Text Char"/>
    <w:basedOn w:val="DefaultParagraphFont"/>
    <w:link w:val="CommentText"/>
    <w:uiPriority w:val="99"/>
    <w:rsid w:val="00032968"/>
    <w:rPr>
      <w:rFonts w:ascii="Arial" w:hAnsi="Arial"/>
      <w:lang w:eastAsia="en-US"/>
    </w:rPr>
  </w:style>
  <w:style w:type="paragraph" w:styleId="CommentSubject">
    <w:name w:val="annotation subject"/>
    <w:basedOn w:val="CommentText"/>
    <w:next w:val="CommentText"/>
    <w:link w:val="CommentSubjectChar"/>
    <w:uiPriority w:val="99"/>
    <w:semiHidden/>
    <w:unhideWhenUsed/>
    <w:locked/>
    <w:rsid w:val="00032968"/>
    <w:rPr>
      <w:b/>
      <w:bCs/>
    </w:rPr>
  </w:style>
  <w:style w:type="character" w:customStyle="1" w:styleId="CommentSubjectChar">
    <w:name w:val="Comment Subject Char"/>
    <w:basedOn w:val="CommentTextChar"/>
    <w:link w:val="CommentSubject"/>
    <w:uiPriority w:val="99"/>
    <w:semiHidden/>
    <w:rsid w:val="00032968"/>
    <w:rPr>
      <w:rFonts w:ascii="Arial" w:hAnsi="Arial"/>
      <w:b/>
      <w:bCs/>
      <w:lang w:eastAsia="en-US"/>
    </w:rPr>
  </w:style>
  <w:style w:type="character" w:styleId="Hyperlink">
    <w:name w:val="Hyperlink"/>
    <w:basedOn w:val="DefaultParagraphFont"/>
    <w:uiPriority w:val="99"/>
    <w:unhideWhenUsed/>
    <w:locked/>
    <w:rsid w:val="00332CCC"/>
    <w:rPr>
      <w:color w:val="0000FF" w:themeColor="hyperlink"/>
      <w:u w:val="single"/>
    </w:rPr>
  </w:style>
  <w:style w:type="character" w:styleId="UnresolvedMention">
    <w:name w:val="Unresolved Mention"/>
    <w:basedOn w:val="DefaultParagraphFont"/>
    <w:uiPriority w:val="99"/>
    <w:semiHidden/>
    <w:unhideWhenUsed/>
    <w:rsid w:val="00332CCC"/>
    <w:rPr>
      <w:color w:val="605E5C"/>
      <w:shd w:val="clear" w:color="auto" w:fill="E1DFDD"/>
    </w:rPr>
  </w:style>
  <w:style w:type="paragraph" w:styleId="ListParagraph">
    <w:name w:val="List Paragraph"/>
    <w:basedOn w:val="Normal"/>
    <w:uiPriority w:val="34"/>
    <w:qFormat/>
    <w:rsid w:val="00CD2289"/>
    <w:pPr>
      <w:ind w:left="720"/>
      <w:contextualSpacing/>
    </w:pPr>
  </w:style>
  <w:style w:type="character" w:styleId="FollowedHyperlink">
    <w:name w:val="FollowedHyperlink"/>
    <w:basedOn w:val="DefaultParagraphFont"/>
    <w:uiPriority w:val="99"/>
    <w:semiHidden/>
    <w:unhideWhenUsed/>
    <w:locked/>
    <w:rsid w:val="00C25751"/>
    <w:rPr>
      <w:color w:val="800080" w:themeColor="followedHyperlink"/>
      <w:u w:val="single"/>
    </w:rPr>
  </w:style>
  <w:style w:type="paragraph" w:styleId="Revision">
    <w:name w:val="Revision"/>
    <w:hidden/>
    <w:uiPriority w:val="99"/>
    <w:semiHidden/>
    <w:rsid w:val="002427E2"/>
    <w:rPr>
      <w:rFonts w:ascii="Arial" w:hAnsi="Arial"/>
      <w:sz w:val="24"/>
      <w:szCs w:val="22"/>
      <w:lang w:eastAsia="en-US"/>
    </w:rPr>
  </w:style>
  <w:style w:type="character" w:customStyle="1" w:styleId="normaltextrun">
    <w:name w:val="normaltextrun"/>
    <w:basedOn w:val="DefaultParagraphFont"/>
    <w:rsid w:val="00160752"/>
  </w:style>
  <w:style w:type="character" w:customStyle="1" w:styleId="eop">
    <w:name w:val="eop"/>
    <w:basedOn w:val="DefaultParagraphFont"/>
    <w:rsid w:val="00160752"/>
  </w:style>
  <w:style w:type="paragraph" w:customStyle="1" w:styleId="paragraph">
    <w:name w:val="paragraph"/>
    <w:basedOn w:val="Normal"/>
    <w:rsid w:val="00534EAC"/>
    <w:pPr>
      <w:spacing w:before="100" w:beforeAutospacing="1" w:after="100" w:afterAutospacing="1"/>
    </w:pPr>
    <w:rPr>
      <w:rFonts w:ascii="Times New Roman" w:eastAsia="Times New Roman" w:hAnsi="Times New Roman"/>
      <w:szCs w:val="24"/>
      <w:lang w:eastAsia="en-GB"/>
    </w:rPr>
  </w:style>
  <w:style w:type="character" w:customStyle="1" w:styleId="tabchar">
    <w:name w:val="tabchar"/>
    <w:basedOn w:val="DefaultParagraphFont"/>
    <w:rsid w:val="00CD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1178">
      <w:bodyDiv w:val="1"/>
      <w:marLeft w:val="0"/>
      <w:marRight w:val="0"/>
      <w:marTop w:val="0"/>
      <w:marBottom w:val="0"/>
      <w:divBdr>
        <w:top w:val="none" w:sz="0" w:space="0" w:color="auto"/>
        <w:left w:val="none" w:sz="0" w:space="0" w:color="auto"/>
        <w:bottom w:val="none" w:sz="0" w:space="0" w:color="auto"/>
        <w:right w:val="none" w:sz="0" w:space="0" w:color="auto"/>
      </w:divBdr>
    </w:div>
    <w:div w:id="7862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682AF.FAF1DA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6" ma:contentTypeDescription="Create a new document." ma:contentTypeScope="" ma:versionID="6c1158573cd6c39e4154cd4f04bdaf42">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871fc5e537b914a954224baa48d94965"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piedintoLG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opiedintoLGR" ma:index="23" nillable="true" ma:displayName="Copied into LGR" ma:description="Done" ma:format="Dropdown" ma:internalName="CopiedintoLG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CopiedintoLGR xmlns="932912da-35b8-44ad-aa45-070f59740489" xsi:nil="true"/>
  </documentManagement>
</p:properties>
</file>

<file path=customXml/itemProps1.xml><?xml version="1.0" encoding="utf-8"?>
<ds:datastoreItem xmlns:ds="http://schemas.openxmlformats.org/officeDocument/2006/customXml" ds:itemID="{64F666BB-538A-4F56-906B-9E65482B07C8}">
  <ds:schemaRefs>
    <ds:schemaRef ds:uri="http://schemas.microsoft.com/sharepoint/v3/contenttype/forms"/>
  </ds:schemaRefs>
</ds:datastoreItem>
</file>

<file path=customXml/itemProps2.xml><?xml version="1.0" encoding="utf-8"?>
<ds:datastoreItem xmlns:ds="http://schemas.openxmlformats.org/officeDocument/2006/customXml" ds:itemID="{54878D6F-5A79-49C1-B7FF-F28696390ECD}">
  <ds:schemaRefs>
    <ds:schemaRef ds:uri="http://schemas.openxmlformats.org/officeDocument/2006/bibliography"/>
  </ds:schemaRefs>
</ds:datastoreItem>
</file>

<file path=customXml/itemProps3.xml><?xml version="1.0" encoding="utf-8"?>
<ds:datastoreItem xmlns:ds="http://schemas.openxmlformats.org/officeDocument/2006/customXml" ds:itemID="{7C49672E-AB63-4C39-9108-01E2F1B8C806}"/>
</file>

<file path=customXml/itemProps4.xml><?xml version="1.0" encoding="utf-8"?>
<ds:datastoreItem xmlns:ds="http://schemas.openxmlformats.org/officeDocument/2006/customXml" ds:itemID="{0D104F82-E1A7-448D-8BF7-0EE60C609EB3}">
  <ds:schemaRefs>
    <ds:schemaRef ds:uri="http://schemas.microsoft.com/office/2006/documentManagement/types"/>
    <ds:schemaRef ds:uri="http://purl.org/dc/elements/1.1/"/>
    <ds:schemaRef ds:uri="932912da-35b8-44ad-aa45-070f59740489"/>
    <ds:schemaRef ds:uri="http://purl.org/dc/terms/"/>
    <ds:schemaRef ds:uri="http://schemas.microsoft.com/office/infopath/2007/PartnerControls"/>
    <ds:schemaRef ds:uri="http://schemas.openxmlformats.org/package/2006/metadata/core-properties"/>
    <ds:schemaRef ds:uri="http://www.w3.org/XML/1998/namespace"/>
    <ds:schemaRef ds:uri="9166799d-5747-4ce1-846d-ef47aa4c0dd1"/>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89</TotalTime>
  <Pages>7</Pages>
  <Words>1759</Words>
  <Characters>9044</Characters>
  <Application>Microsoft Office Word</Application>
  <DocSecurity>0</DocSecurity>
  <Lines>311</Lines>
  <Paragraphs>168</Paragraphs>
  <ScaleCrop>false</ScaleCrop>
  <Company>Microsoft</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ghobbs</dc:creator>
  <cp:keywords/>
  <cp:lastModifiedBy>O'Sullivan, Debbie</cp:lastModifiedBy>
  <cp:revision>106</cp:revision>
  <cp:lastPrinted>2026-01-19T19:35:00Z</cp:lastPrinted>
  <dcterms:created xsi:type="dcterms:W3CDTF">2026-01-08T19:04:00Z</dcterms:created>
  <dcterms:modified xsi:type="dcterms:W3CDTF">2026-01-26T17:23:00Z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0x010100777000D8CE74EF4386E90E14AE2F74A7</vt:lpwstr>
  </property>
  <property fmtid="{D5CDD505-2E9C-101B-9397-08002B2CF9AE}" pid="3" name="Order">
    <vt:r8>913000</vt:r8>
  </property>
  <property fmtid="{D5CDD505-2E9C-101B-9397-08002B2CF9AE}" pid="4" name="MediaServiceImageTags">
    <vt:lpwstr/>
  </property>
</Properties>
</file>